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2D" w:rsidRPr="00AC0E2D" w:rsidRDefault="00AC0E2D" w:rsidP="00AC0E2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Załącznik nr 2</w:t>
      </w:r>
    </w:p>
    <w:p w:rsidR="00AC0E2D" w:rsidRPr="00AC0E2D" w:rsidRDefault="00AC0E2D" w:rsidP="00AC0E2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LXXXIV/807/2023</w:t>
      </w:r>
    </w:p>
    <w:p w:rsidR="00AD29AF" w:rsidRDefault="00AC0E2D" w:rsidP="00AC0E2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Rady Gminy Świdnica </w:t>
      </w:r>
    </w:p>
    <w:p w:rsidR="00AC0E2D" w:rsidRDefault="00AD29AF" w:rsidP="00AC0E2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            </w:t>
      </w:r>
      <w:bookmarkStart w:id="0" w:name="_GoBack"/>
      <w:bookmarkEnd w:id="0"/>
      <w:r w:rsidR="00AC0E2D"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>z dnia 21 września 2023 r.</w:t>
      </w:r>
    </w:p>
    <w:p w:rsidR="00AD29AF" w:rsidRPr="00AC0E2D" w:rsidRDefault="00AD29AF" w:rsidP="00AC0E2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AC0E2D" w:rsidRPr="00AC0E2D" w:rsidRDefault="00AC0E2D" w:rsidP="00AC0E2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wartości przyjętych w Wieloletniej Prognozie Finansowej Gminy Świdnica na lata 2023 - 2039</w:t>
      </w:r>
    </w:p>
    <w:p w:rsidR="00AC0E2D" w:rsidRPr="00AC0E2D" w:rsidRDefault="00AC0E2D" w:rsidP="00AC0E2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LXXII/671/2022 Rady Gminy Świdnica z dnia 15 grudnia 2022 r.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sprawie przyjęcia Wieloletniej Prognozy Finansowej Gminy Świdnica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 na 2023 rok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zmiany: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159/2023, 168/2023 i projektem uchwały z autopoprawką w sprawie zmian w budżecie na rok 2023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 w kol. 1.1. o kwotę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4 698 515,34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 xml:space="preserve">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zł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, w tym: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1.1.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uzupełnienia subwencji ogólnej o 4 587 813,16 zł,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1.2.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z tytułu części oświatowej subwencji ogólnej  o 45 081 zł,</w:t>
      </w:r>
    </w:p>
    <w:p w:rsidR="00AC0E2D" w:rsidRPr="00AC0E2D" w:rsidRDefault="00AC0E2D" w:rsidP="00AC0E2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1.3.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z tytułu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dotacji i środków przeznaczonych na cele bieżące o 45 621,18 zł,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 xml:space="preserve">1.4.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>pozostałe dochody o 20 000 zł,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projektem uchwały w sprawie zmian w budżecie na rok 2023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kol. 1.2. o kwotę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25,48 zł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dotacji na refundację części wydatków majątkowych w ramach funduszu sołeckiego w 2022 roku,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 sprawie zmian w budżecie na rok 2023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kol. 1.2. o kwotę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374 250 zł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z tytułu dotacji z Rządowego Funduszu Rozwoju Dróg na inwestycję pn. "Przebudowa obiektu mostowego nad rzeką Piławą wraz z odcinkiem drogi gminnej nr 111785D w miejscowości Makowice",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00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159/2023, 168/2023 i projektem uchwały z autopoprawką  w sprawie zmian w budżecie na rok 2023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wydatki bieżące w kol. 2.1.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>o 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2 936 400,68 zł,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 xml:space="preserve"> w tym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 xml:space="preserve">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>na: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4.1.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obsługę długu (odsetki) - 1 550 000 zł,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4.2.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 xml:space="preserve"> pozostałe wydatki - 1 386 400,68 zł,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5.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159/2023 w sprawie zmian w budżecie na rok 2023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wydatki bieżące w kol. 2.1. o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69 393,32 zł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, w tym: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5.1. 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na projekt "Cyfrowa gmina" - 56 711,23 zł,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5.2.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 xml:space="preserve"> wynagrodzenia i składki od nich naliczone - 12 682,09 zł,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00"/>
        </w:rPr>
        <w:t xml:space="preserve"> 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159/2023 i projektem uchwały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kol. 2.2. pozostałe wydatki majątkowe o kwotę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580 211,23 zł,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tym na: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6.1.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projekt "Cyfrowa gmina"- 56 711,23 zł,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6.2.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>objęcie udziałów w Świdnickim Gminnym Przedsiębiorstwie Komunalnym Sp. z o.o. - 500 000 zł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00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 xml:space="preserve">6.3.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>inwestycję pn. "Budowa pełnowymiarowej sali gimnastycznej przy Szkole Podstawowej w Grodziszczu" - 20 000 zł (środki własne),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6.4.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 xml:space="preserve"> inwestycję pn. „Budowa placu zabaw w ramach projektu </w:t>
      </w:r>
      <w:r w:rsidRPr="00AC0E2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 w:themeFill="background1"/>
        </w:rPr>
        <w:t xml:space="preserve">Przebudowa Szkoły Podstawowej w Bystrzycy Górnej” 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>w związku ze zmianą nazwy zadania z „Przebudowa Szkoły Podstawowej w Bystrzycy Górnej” – etap II” - 3 500 zł (RFIL),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00"/>
        </w:rPr>
        <w:t xml:space="preserve"> 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deficyt budżetu o kwotę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877 072,23 zł</w:t>
      </w:r>
      <w:r w:rsidRPr="00AC0E2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 w:themeFill="background1"/>
        </w:rPr>
        <w:t>.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8. </w:t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>Zmniejsza się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 przychody budżetu gminy o kwotę </w:t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>1 138 221,82 zł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 w § 950 "Wolne środki, o których mowa w art. 217 ust. 2 pkt 6 ustawy.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9. Zwiększa się 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przychody budżetu gminy o kwotę </w:t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</w:rPr>
        <w:t>261 149,59 zł</w:t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>w</w:t>
      </w: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>§ 905 "Przychody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ustawach".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 wprowadzonych uchwałą zmianach dochody stanowią kwotę</w:t>
      </w:r>
      <w:r w:rsidRPr="00AC0E2D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127 587 938,52 zł, </w:t>
      </w:r>
      <w:r w:rsidRPr="00AC0E2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br/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 wydatki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145 842 277,82 zł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Deficyt budżetu wynosi </w:t>
      </w:r>
      <w:r w:rsidRPr="00AC0E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 w:themeFill="background1"/>
        </w:rPr>
        <w:t>18 234 339,30 zł.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>Zaktualizowano zgodnie z projektem Uchwały Rady Gminy dane dodatkowe Wieloletniej Prognozy Finansowej na 2023 rok w następujących kolumnach:</w:t>
      </w:r>
    </w:p>
    <w:p w:rsidR="00AC0E2D" w:rsidRPr="00AC0E2D" w:rsidRDefault="00AC0E2D" w:rsidP="00AC0E2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w kol. 9.3. </w:t>
      </w:r>
      <w:r w:rsidRPr="00AC0E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bieżące na programy, projekty lub zadania finansowane z udziałem środków, o których mowa w art. 5 ust. 1 pkt 2 i 3 ustawy, 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jest 396 464,73 zł, </w:t>
      </w:r>
      <w:proofErr w:type="spellStart"/>
      <w:r w:rsidRPr="00AC0E2D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AC0E2D">
        <w:rPr>
          <w:rFonts w:ascii="Times New Roman" w:hAnsi="Times New Roman" w:cs="Times New Roman"/>
          <w:kern w:val="0"/>
          <w:sz w:val="24"/>
          <w:szCs w:val="24"/>
        </w:rPr>
        <w:t>. 339 753,50 zł, różnica minus 56 711,23 zł,</w:t>
      </w:r>
    </w:p>
    <w:p w:rsidR="00AC0E2D" w:rsidRPr="00AC0E2D" w:rsidRDefault="00AC0E2D" w:rsidP="00AC0E2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kern w:val="0"/>
          <w:sz w:val="24"/>
          <w:szCs w:val="24"/>
        </w:rPr>
        <w:t>w kol. 9.3.1</w:t>
      </w:r>
      <w:r w:rsidRPr="00AC0E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Wydatki bieżące na programy, projekty lub zadania finansowane z udziałem środków, o których mowa w art. 5 ust. 1 pkt 2 i 3 ustawy, w tym finansowane z udziałem środków, o których mowa w art. 5 ust. 1 pkt 2 ustawy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 jest 396 464,73 zł, </w:t>
      </w:r>
      <w:proofErr w:type="spellStart"/>
      <w:r w:rsidRPr="00AC0E2D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AC0E2D">
        <w:rPr>
          <w:rFonts w:ascii="Times New Roman" w:hAnsi="Times New Roman" w:cs="Times New Roman"/>
          <w:kern w:val="0"/>
          <w:sz w:val="24"/>
          <w:szCs w:val="24"/>
        </w:rPr>
        <w:t>. 339 753,50 zł, różnica minus 56 711,23 zł,</w:t>
      </w:r>
    </w:p>
    <w:p w:rsidR="00AC0E2D" w:rsidRPr="00AC0E2D" w:rsidRDefault="00AC0E2D" w:rsidP="00AC0E2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kern w:val="0"/>
          <w:sz w:val="24"/>
          <w:szCs w:val="24"/>
        </w:rPr>
        <w:lastRenderedPageBreak/>
        <w:t>kol. 9.3.1.1.</w:t>
      </w:r>
      <w:r w:rsidRPr="00AC0E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Wydatki bieżące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 jest 300 933,19 zł, </w:t>
      </w:r>
      <w:proofErr w:type="spellStart"/>
      <w:r w:rsidRPr="00AC0E2D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AC0E2D">
        <w:rPr>
          <w:rFonts w:ascii="Times New Roman" w:hAnsi="Times New Roman" w:cs="Times New Roman"/>
          <w:kern w:val="0"/>
          <w:sz w:val="24"/>
          <w:szCs w:val="24"/>
        </w:rPr>
        <w:t>. 244 221,96 zł, różnica minus 56 711,23 zł,</w:t>
      </w:r>
    </w:p>
    <w:p w:rsidR="00AC0E2D" w:rsidRPr="00AC0E2D" w:rsidRDefault="00AC0E2D" w:rsidP="00AC0E2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w kol. 9.4. </w:t>
      </w:r>
      <w:r w:rsidRPr="00AC0E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majątkowe na programy, projekty lub zadania finansowane z udziałem środków, o których mowa w art. 5 ust. 1 pkt 2 i 3 ustawy, 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jest 1 225 894,17 zł, </w:t>
      </w:r>
      <w:proofErr w:type="spellStart"/>
      <w:r w:rsidRPr="00AC0E2D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AC0E2D">
        <w:rPr>
          <w:rFonts w:ascii="Times New Roman" w:hAnsi="Times New Roman" w:cs="Times New Roman"/>
          <w:kern w:val="0"/>
          <w:sz w:val="24"/>
          <w:szCs w:val="24"/>
        </w:rPr>
        <w:t>. 1 282 605,40 zł, różnica plus 56 711,23 zł,</w:t>
      </w:r>
    </w:p>
    <w:p w:rsidR="00AC0E2D" w:rsidRPr="00AC0E2D" w:rsidRDefault="00AC0E2D" w:rsidP="00AC0E2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kern w:val="0"/>
          <w:sz w:val="24"/>
          <w:szCs w:val="24"/>
        </w:rPr>
        <w:t>w kol. 9.4.1</w:t>
      </w:r>
      <w:r w:rsidRPr="00AC0E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Wydatki majątkowe na programy, projekty lub zadania finansowane z udziałem środków, o których mowa w art. 5 ust. 1 pkt 2 i 3 ustawy, w tym finansowane z udziałem środków, o których mowa w art. 5 ust. 1 pkt 2 ustawy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 jest 1 225 894,17 zł, </w:t>
      </w:r>
      <w:proofErr w:type="spellStart"/>
      <w:r w:rsidRPr="00AC0E2D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AC0E2D">
        <w:rPr>
          <w:rFonts w:ascii="Times New Roman" w:hAnsi="Times New Roman" w:cs="Times New Roman"/>
          <w:kern w:val="0"/>
          <w:sz w:val="24"/>
          <w:szCs w:val="24"/>
        </w:rPr>
        <w:t>. 1 282 605,40 zł, różnica plus 56 711,23 zł,</w:t>
      </w:r>
    </w:p>
    <w:p w:rsidR="00AC0E2D" w:rsidRPr="00AC0E2D" w:rsidRDefault="00AC0E2D" w:rsidP="00AC0E2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kern w:val="0"/>
          <w:sz w:val="24"/>
          <w:szCs w:val="24"/>
        </w:rPr>
        <w:t>kol. 9.4.1.1.</w:t>
      </w:r>
      <w:r w:rsidRPr="00AC0E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Wydatki majątkowe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AC0E2D">
        <w:rPr>
          <w:rFonts w:ascii="Times New Roman" w:hAnsi="Times New Roman" w:cs="Times New Roman"/>
          <w:kern w:val="0"/>
          <w:sz w:val="24"/>
          <w:szCs w:val="24"/>
        </w:rPr>
        <w:t xml:space="preserve"> jest 852 039,17 zł, </w:t>
      </w:r>
      <w:proofErr w:type="spellStart"/>
      <w:r w:rsidRPr="00AC0E2D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AC0E2D">
        <w:rPr>
          <w:rFonts w:ascii="Times New Roman" w:hAnsi="Times New Roman" w:cs="Times New Roman"/>
          <w:kern w:val="0"/>
          <w:sz w:val="24"/>
          <w:szCs w:val="24"/>
        </w:rPr>
        <w:t>. 908 750,40 zł, różnica plus 56 711,23 zł.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C0E2D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AC0E2D" w:rsidRPr="00AC0E2D" w:rsidRDefault="00AC0E2D" w:rsidP="00AC0E2D">
      <w:pPr>
        <w:widowControl w:val="0"/>
        <w:shd w:val="clear" w:color="auto" w:fill="FFFFFF" w:themeFill="background1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AC0E2D" w:rsidRDefault="00AC0E2D" w:rsidP="00AC0E2D">
      <w:pPr>
        <w:shd w:val="clear" w:color="auto" w:fill="FFFFFF" w:themeFill="background1"/>
      </w:pPr>
    </w:p>
    <w:sectPr w:rsidR="00AC0E2D" w:rsidSect="00C81423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2D"/>
    <w:rsid w:val="00AC0E2D"/>
    <w:rsid w:val="00A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42BA-CD25-4AA2-941D-16C48E99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uiPriority w:val="99"/>
    <w:rsid w:val="00AC0E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2</cp:revision>
  <dcterms:created xsi:type="dcterms:W3CDTF">2023-09-22T11:14:00Z</dcterms:created>
  <dcterms:modified xsi:type="dcterms:W3CDTF">2023-09-25T08:30:00Z</dcterms:modified>
</cp:coreProperties>
</file>