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38" w:rsidRPr="00646CC5" w:rsidRDefault="004D4B38" w:rsidP="00277EA4">
      <w:pPr>
        <w:pStyle w:val="Nagwek2"/>
      </w:pPr>
    </w:p>
    <w:p w:rsidR="005D1276" w:rsidRPr="00631482" w:rsidRDefault="005D1276" w:rsidP="005D1276">
      <w:pPr>
        <w:spacing w:line="288" w:lineRule="auto"/>
        <w:ind w:left="3969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5D1276" w:rsidRPr="00631482" w:rsidRDefault="005D1276" w:rsidP="005D1276">
      <w:pPr>
        <w:spacing w:line="288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Załącznik nr 7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Nazwa ……………………………..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Adres ………………………………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„Wyposażenie dwóch pracowni dydaktycznych</w:t>
      </w:r>
      <w:r w:rsidRPr="00E45537">
        <w:rPr>
          <w:rFonts w:asciiTheme="minorHAnsi" w:hAnsiTheme="minorHAnsi" w:cstheme="minorHAnsi"/>
          <w:b/>
          <w:sz w:val="20"/>
          <w:szCs w:val="20"/>
        </w:rPr>
        <w:t>: przyrodniczej i matematycznej ”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nr sprawy: ZP.271.13.2018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Wymagane i oferowane parametry techniczne</w:t>
      </w:r>
    </w:p>
    <w:p w:rsidR="005D1276" w:rsidRPr="00631482" w:rsidRDefault="00B10DDD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ZADANIE NR 3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5D1276" w:rsidRPr="00631482" w:rsidRDefault="005D1276" w:rsidP="005D127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1482">
        <w:rPr>
          <w:rFonts w:asciiTheme="minorHAnsi" w:hAnsiTheme="minorHAnsi" w:cstheme="minorHAnsi"/>
          <w:sz w:val="20"/>
          <w:szCs w:val="20"/>
        </w:rPr>
        <w:t>Lokalizacja pracowni dydaktycznych: Gimnazjum im. Książąt Świdnickich w Witoszowie Dolnym, Witoszów Dolny 59-60, 58-100 Świdnica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Oferujemy:</w:t>
      </w:r>
    </w:p>
    <w:p w:rsidR="00984303" w:rsidRPr="00631482" w:rsidRDefault="00984303" w:rsidP="00984303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"/>
        <w:gridCol w:w="537"/>
        <w:gridCol w:w="29"/>
        <w:gridCol w:w="1848"/>
        <w:gridCol w:w="1134"/>
        <w:gridCol w:w="1985"/>
        <w:gridCol w:w="2551"/>
        <w:gridCol w:w="6804"/>
      </w:tblGrid>
      <w:tr w:rsidR="00475A0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  <w:vAlign w:val="center"/>
          </w:tcPr>
          <w:p w:rsidR="00475A01" w:rsidRPr="002F6583" w:rsidRDefault="00475A01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8" w:type="dxa"/>
            <w:vAlign w:val="center"/>
          </w:tcPr>
          <w:p w:rsidR="00475A01" w:rsidRPr="002F6583" w:rsidRDefault="00475A01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lub materiału</w:t>
            </w:r>
          </w:p>
        </w:tc>
        <w:tc>
          <w:tcPr>
            <w:tcW w:w="1134" w:type="dxa"/>
            <w:vAlign w:val="center"/>
          </w:tcPr>
          <w:p w:rsidR="00475A01" w:rsidRPr="002F6583" w:rsidRDefault="00475A01" w:rsidP="004375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985" w:type="dxa"/>
            <w:vAlign w:val="center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spełniania wymagań Zamawiającego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(Zaznaczyć TAK, jeżeli oferowany artykuł, sprzęt spełnia dany parametr)</w:t>
            </w:r>
          </w:p>
        </w:tc>
        <w:tc>
          <w:tcPr>
            <w:tcW w:w="2551" w:type="dxa"/>
            <w:vAlign w:val="center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Parametry wyższe</w:t>
            </w:r>
          </w:p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niż wymagane</w:t>
            </w:r>
          </w:p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– proszę opisać 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(tylko w przypadku, gdy Wykonawca oferuje parametry wyższe niż opisane przez Zamawiającego)</w:t>
            </w:r>
          </w:p>
        </w:tc>
        <w:tc>
          <w:tcPr>
            <w:tcW w:w="6804" w:type="dxa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6F5C21" w:rsidRPr="002F6583" w:rsidTr="00914166">
        <w:trPr>
          <w:gridBefore w:val="1"/>
          <w:wBefore w:w="25" w:type="dxa"/>
          <w:trHeight w:val="492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Stojak do plansz, map -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Metalowa konstrukcja stojaka, o podstawie jezdnej, regulowana wysokość od 950 do 1750 mm; umożliwia przechowywanie 15 sztuk plansz i map różnej wielkości zwiniętych w rulon i zawieszonych na haczykach.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Mikroskop z połączeniem do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komputera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 sztuka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Przetwornik 1/3''. Rozdzielczość min 1280x1024 - 1.3 mega piksela, obudowa metalowa, wyjście złącze USB,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tryb koloru RGB. Szybkość min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- 1280x1024 / 15 klatek/s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- 640x480 / 30 klatek/s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kontrola ekspozycji automatyczna, manualna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Waga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elektroniczna, dydaktyczna w zakresie od 1g do 5200g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funkcja tarowania, z funkcją automatycznego wyłączania po 3 minutach "bezruchu" (oszczędzanie baterii). Dołączony zasilacz sieciowy 230V. Duży wyświetlacz LCD: min 15 mm. Średnica płyty ważącej min 150 mm.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Mikroskopy terenowe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 sztuk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Kamera-mikroskop jest prostym urządzeniem cyfrowym powiększającym badane przedmioty 200x i podłączanym przez dowolny port USB (do komputera, tablicy itp.). Dzięki giętkiej szyi, podświetleniu LED min. (6 szt.) oraz podstawie można ją dowolnie ustawić nad obserwowanym obiektem wyostrzając obraz pokrętłem zoom, a także wykonać zdjęcie cyfrowe wciskając przycisk umieszczony w podstawie. Pomoc dydaktyczna przydatna na lekcjach przyrody i biologii, ale nie tylko, oraz do pracy indywidualnej uczniów, jak i demonstracji przez nauczyciela. Rozdzielczość obrazu min. 1,3 MP.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do doświadczeń z optyki (laser pięciowiązkowy)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Zestaw magnetyczny do optyki geometrycznej z laserem diodowym, w walizce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SKŁAD ZESTAWU minimum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1. laser czerwony 5-wiązkowy z przełącznikiem (można emitować jedną, trzy lub pięć wiązek);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2. pryzmat prostokątny (45-90-45);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3. pryzmat trapezowy;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4. blok akrylowy - model soczewki dwustronnie wypukłej (dwuwypukłej);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5. blok akrylowy - model soczewki dwustronnie wklęsłej (dwuwklęsłej);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6. blok akrylowy - model soczewki jednostronnie wypukłej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płaskowypukłej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7. blok akrylowy równoległościenny - pryzmat prostokątny;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8. zwierciadło elastyczne o regulowanym promieniu krzywizny - ustawiane jako zwierciadło płaskie, wypukłe lub wklęsłe (różne promienie krzywizny);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sz w:val="20"/>
                <w:szCs w:val="20"/>
              </w:rPr>
              <w:t>        /elementy 1-8 mają wtopione (poz. 1 - przyklejone) małe, silne magnesy neodymowe - SĄ W PEŁNI MAGNETYCZNE/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9. kuweta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półcylindryczna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transparentna, z tworzywa sztucznego, do napełniania wodą lub innym ośrodkiem;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10. tarcza Kolbego nadrukowana na białej FOLII MAGNETYCZNEJ;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11. tarcza Kolbego kartonowa, sztywna, zafoliowana 2-stronnie;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12. zasilacz sieciowy do lasera;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13. ściereczka do czyszczenia elementów optycznych;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14. metalowa walizka z rączką, zamykana na metalowe zatrzaski, z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dopasowanymi gniazdami gąbkowymi.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szkła laboratoryjnego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Wielki zestaw szkła i wyposażenia laboratoryjnego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Skład zestawu minimum: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bagietka szklana…3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bibuła filtracyjna, krążki…50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50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100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250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gruszka gumowa…1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okrągłodenna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100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kolba stożkowa z korkiem…2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lejek…2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łapa do probówek metalowa…2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łyżeczka do spalań z kołnierzem ochronnym...1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łyżko-szpatułka…2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moździerz szorstki z tłuczkiem…1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okulary ochronne podstawowe…2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palnik alkoholowy…1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parownica porcelanowa…1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pęseta metalowa…1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pipeta Pasteura, 3 ml…3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pipeta wielomiarowa, 5 ml…1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probówka szklana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.), I…10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probówka szklana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.), II…10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stojak do probówek 6+6…1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stojak nad palnik…1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szalka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Petriego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szklana, 60 mm…2 szt.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szalka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Petriego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szklana, 100 mm…2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szczotka do probówek…2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szczypce laboratoryjne…1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szkiełko zegarkowe 75 mm…3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termometr szklany -10..+110 ?C…1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• tryskawka…1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tygiel porcelanowy…1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zakraplacz szklany, poj. 2 ml…3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100 ml…2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250 ml…2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400 ml…1 szt.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Busole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Kompas/busola w obudowie metalowej. Bardzo dokładna busola zamknięta w metalowej obudowie. Wypełniony płynem, bardzo szybko ustawia się na pozycję określającą prawidłowy kierunek. Posiada tarczę z kierunkami świata oraz punkty namiarowe, co znacznie ułatwia odczytanie kierunku.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Fluerescencyjne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litery i wskazówka umożliwiają odczyt kierunku również po ciemku. Podziałka na tarczy pozwala na dokonanie odczytu w stopniach i dziesiętnych. Kompas ma metalową obudowę co chroni go przed zniszczeniem. Min średnica 5,5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Lornetki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Lornetka metalowa, min. 8x21mm, specjalnie gumowana, aby nie wyślizgiwała się z rąk. Ekonomiczna i lekka. Pozostałe parametry: pole widzenia min 126 m/1000 m.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Powiększenie min x10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Lupy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Lupa szklana z rączką 3x100.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Szklana lupa z rączką o powiększeniu 3x. Duża średnica soczewki: min. 100 mm.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Dodatkowo pudełko z 2 lupami i miarką trzyczęściowe do obserwacji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3-częściowy, przezroczysty pojemnik w kształcie trzech wsuwających się w siebie kolejno (teleskopowo) walców, w którego pokrywkę (zdejmowana) wbudowane są 2 lupy (jedna uchylna na zawiasie), dając powiększenie 2x lub 4x. W pokrywce znajdują się otwory wentylacyjne. W dno pudełka wtopiono miarkę do szacowania i porównywania wielkości okazów. Wymiary: wysokość min. 8 cm, średnica min. 7 cm. Bezpieczne, wygodne i humanitarne.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 egz.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 - pakiet 5 egz. Do sprawdzania prawa Ohma i tworzenia obwodów elektrycznych. Każdy zestaw pozwala wykonywać doświadczenia z elektryczności, w szczególności doświadczenia wymienione w podstawie programowej: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- uczeń buduje prosty obwód elektryczny według zadanego schematu,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lastRenderedPageBreak/>
              <w:t>- uczeń wyznacza opór elektryczny opornika lub żarówki za pomocą woltomierza lub amperomierza,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- uczeń wyznacza moc żarówki zasilanej z baterii za pomocą woltomierza i amperomierza.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Zestaw zawiera wszystkie elementy niezbędne do wykonania wyżej wymienionych doświadczeń. W jego skład wchodzą moduły z następującymi elementami obwodów elektrycznych: żarówka 6V, 50mA(2 moduły), żarówka 6V, 100 </w:t>
            </w:r>
            <w:proofErr w:type="spellStart"/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mA</w:t>
            </w:r>
            <w:proofErr w:type="spellEnd"/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, dioda półprzewodnikowa, LED, opornik 30 Ω, opornik 200 Ω, wyłącznik. W zestawie znajdują się również elementy łączeniowe </w:t>
            </w:r>
            <w:r w:rsidR="00964F70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min. </w:t>
            </w: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(8 sztuk, w tym 2 przeznaczone do włączania amperomierza do obwodu), zasilacz bateryjny wraz z kablami do jego przyłączenia oraz cyfrowy miernik uniwersalny z kablami przyłączeniowymi.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Odczynniki chemiczne</w:t>
            </w:r>
          </w:p>
        </w:tc>
        <w:tc>
          <w:tcPr>
            <w:tcW w:w="1134" w:type="dxa"/>
            <w:shd w:val="clear" w:color="auto" w:fill="auto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zawierający minimum: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Alkohol etylowy (etanol-spirytus rektyfikowany ok. 95%) 200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Alkohol propylowy (propanol-2,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izo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-propanol)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Alkohol trójwodorotlenowy (gliceryna, glicerol,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propanotriol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Amoniak (roztwór wodny ok.25%- woda amoniakalna)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amonu (saletra amonowa)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potasu (saletra indyjska)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 ) sodu (saletra chilijska)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srebra 10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Benzyna ekstrakcyjna (eter naftowy-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t.w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 60-90oC)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Bibuła filtracyjna jakościowa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średniosącząca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(ark. 22×28 cm) 50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Błękit tymolowy (wskaźnik – roztwór alkoholowy)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Brąz (stop- blaszka grubość 0,2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Butan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izo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-butan skroplony, gaz do zapalniczek) 1 opak.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miedzi(II) (roztwór ok.35%)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potasu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sodu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wapnia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żelaza(III) (roztwór ok.45%)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Cyna (metal-granulki)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Cynk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(metal-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drut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Dwuchromian(VI) sodu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Fenoloftaleina (wskaźnik -1%roztwór alkoholowy)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Fosfor czerwony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Glin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(metal-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drut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Glin (metal-blaszka)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Glin (metal-pył)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Jodyna (alkoholowy roztwór jodu) 10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Krzemian sodu (szkło wodne)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Kwas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aminooctowy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(glicyna)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azotowy(V) (ok.54 %)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chlorowodorowy (ok.36%, kwas solny) 2 x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cytrynowy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fosforowy(V) (ok.85 %)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mlekowy (roztwór ok.80%)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mrówkowy (kwas metanowy ok.80%)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octowy (kwas etanowy roztwór 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oleinowy (oleina)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siarkowy(VI) (ok.96 %) 2 x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stearynowy (stearyna)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Magnez (metal-wiórki)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Magnez (metal-wstążki)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Manganian(VII) potasu (nadmanganian potasu)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Miedź (metal- drut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Miedź (metal-blaszka grubość 0,1 mm) 200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Mosiądz (stop- blaszka grubość 0,2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Nadtlenek wodoru ok.30% (woda utleniona, perhydrol)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etylu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ołowiu(II)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sodu bezwodny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Ołów (metal- blaszka grubość 0,5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Oranż metylowy (wskaźnik w roztworze)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Parafina rafinowana (granulki)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Paski lakmusowe obojętne 2 x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uniwersalne (zakres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1-10) 2 x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Ropa naftowa (minerał)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Sacharoza (cukier krystaliczny)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Sączki jakościowe (średnica 10 cm)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Siarczan(VI)magnezu (sól gorzka)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Siarczan(VI)miedzi(II) 5hydrat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Siarczan(VI)sodu (sól glauberska)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Siarczan(VI)wapnia 1/2hydrat (gips palony)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Siarczan(VI)wapnia 2hydrat (gips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krystaliczny-minerał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Siarka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Skrobia ziemniaczana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Sód (metaliczny, zanurzony w oleju parafinowym)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Stop Wooda (stop niskotopliwy, temp. topnienia ok. 72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Świeczki miniaturowe 24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magnezu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miedzi(II)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ołowiu(II) (glejta)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żelaza(III)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Węgiel brunatny (węgiel kopalny- minerał 65-78 o C)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Węgiel drzewny (drewno destylowane)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potasu bezwodny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sodu bezwodny (soda kalcynowana)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sodu kwaśny(wodorowęglan sodu)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Węglan wapnia (grys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marmurowy-minerał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wapnia (kreda strącona-syntetyczna)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Węglik wapnia (karbid ) 200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potasu (zasada potasowa, płatki)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sodu (zasada sodowa, granulki)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wapnia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Żelazo (metal- drut Ø1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hd w:val="clear" w:color="auto" w:fill="F7F7F7"/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Żelazo (metal- proszek) 100 g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Przewodniki roślin i zwierząt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Przewodnik do rozpoznawania roślin i zwierząt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Atlas drzew i krzewów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Atlas drzew i krzewów Polski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Proste klucze do oznaczania roślin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atlas i klucz  rośliny zielne i krzewinki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Preparaty mikroskopowe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pacing w:val="8"/>
                <w:sz w:val="20"/>
                <w:szCs w:val="20"/>
                <w:shd w:val="clear" w:color="auto" w:fill="FFFFFF"/>
              </w:rPr>
              <w:t>Zestaw minimum 100 gotowych do użytku preparatów biologicznych.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W zestawie znajdują się minimum następujące preparaty: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1. Trzy rodzaje bakterii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2. Penicylina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3. Kropidlak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Rhizopus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- grzyb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5. Promieniowiec (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Actinomyces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Zawłotnia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7.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Diatomy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8.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Closterium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- glon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9. Skrętnica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10. Koniugacja skrętnic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11. Porost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12. Liść paproci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13. Przedrośle paproci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14. Liść jaśminu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nagokwiatowego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15. Łodyga moczarki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16. Liść moczarki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17. Igła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18. Męski kłos zarodnionośny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19. Żeński kłos zarodnionośny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20. Liść kauczukowca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21. Stożek wzrostu na czubku korzenia kukurydzy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22. Młody korzeń bobu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23. Łodyga kukurydzy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24. Łodyga kukurydzy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25. Łodyga dyni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26. Łodyga dyni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27. Łodyga słonecznika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28. Pylnik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29. Rodnia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30. Splątek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31. Pień lipy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32. Pień lipy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33. Łodyga pelargonii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34. Liść fasoli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35. Kiełkujący pyłek kwiatowy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36. Pyłek kwiatowy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37. Owoc pomidora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38. Korzeń powietrzny storczyka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39. Mitoza komórek stożka wzrostu cebuli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40. Ziarno kukurydzy z bielmem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41.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Plazmodesma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42. Zalążnia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43. Pylnik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44. Liść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45. Tasznik pospolity (embrion)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46. Tasznik pospolity (młody embrion)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47. Skórka czosnku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48. Euglena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49. Orzęsek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Paramecium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50. Stułbia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51. Stułbia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52. Płaziniec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53.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Schistosoma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(przywra krwi - samiec)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54.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Schistosoma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(przywra krwi - samica)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55. Glista (samiec i samica)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56. Dżdżownica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57. Skóra węża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58. Wioślarka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59. Wrotek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60. Aparat gębowy samicy komara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61.Aparat gębowy pszczoły miodnej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62. Tylne odnóże pszczoły miodnej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63. Aparat gębowy motyla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64. Aparat gębowy muchy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65. Aparat gębowy świerszcza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66. Mrówka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67. Łuska ryby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68. Płaziniec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69. Tchawka świerszcza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70. Skrzela mięczaka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71. Wymaz krwi ludzkiej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72. Wymaz krwi ryby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73. Nabłonek rzęskowy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74. Nabłonek płaski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75. Nabłonek wielowarstwowy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76. Mitoza w jajach glisty końskiej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77. Jelito cienkie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78. Tkanka kostna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79. Ścięgno psa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80. Tkanka łączna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81. Mięsień szkieletowy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82. Mięsień sercowy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83. Rdzeń kręgowy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84. Nerw motoryczny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85. Mięsień gładki w fazie skurczu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86. Płuco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87. Żołądek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88. Wątroba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89. Węzeł chłonny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90. Płuco szczura z wybarwionymi naczyniami krwionośnymi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91. Nerka szczura z wybarwionymi naczyniami krwionośnymi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92. Nerka szczura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93. Jądra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94. Jajnik kota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95. Ludzki nabłonek wielowarstwowy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96. DNA, RNA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97. Mitochondria w gruczole trzustkowym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98. Aparaty Golgiego w jaju żaby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99. Ludzkie chromosomy 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100. Ludzkie chromosomy X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- dodatkowo szkiełka podstawowe  100szt. 24X60mm – 1 zestaw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-szkiełka nakrywkowe 100szt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24X60mm – 2 zestawy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Igła preparacyjna prosta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metalowym zintegrowanym uchwytem antypoślizgowym. W całości metalowa (uchwyt + igła). Długość całkowita</w:t>
            </w:r>
            <w:r w:rsidR="00964F7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min.: 13,5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Atlasy geograficzne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964F70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Publikacja powinna zawierać mapy uwzględniające treści nowej podstawy programowej, w tym ukazujące relacje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przyczynowo-skutkowe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czasowo-przestrzenne pomiędzy różnymi elementami i procesami zachodzącymi w środowisku geograficznym (np. zasięgi powodzi, przyroda Kenii). Szczegółowe mapy tematyczne pozwalają na realizację podstawowego celu nauczania geografii na tym poziomie edukacji, którym według twórców podstawy programowej jest interpretacja treści map. W  publikacji powinny znaleźć się zestawienia tabelaryczne z najczęściej wykorzystywanymi danymi statystycznymi z zakresu geografii fizycznej i społeczno-ekonomicznej.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Układ okresowy pierwiastków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Układ okresowy pierwiastków - 160 x 220 cm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Bardzo dokładne opisy. Zawiera nowy pierwiastek  KOPERNIK.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Od strony merytorycznej dużą zaletą układu jest graficzne wyróżnienie oraz zróżnicowanie właściwości fizykochemicznych pierwiastków.</w:t>
            </w:r>
            <w:r w:rsidR="00964F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Układu opracowana zgodnie z zaleceniami International Union Of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Pure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And Applied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Chemistry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 Wysoka jakość druku - estetyczny i czytelny. 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Wykonanie: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Układ okresowy wykonany w technice wydruku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folwentowego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na specjalnym tworzywie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banerowym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, wzmocnionym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siatką stylonową o uszlachetnionej powierzchni. Zastosowane tworzywo umożliwia wyeksponowanie walorów graficznych, plastycznych i estetycznych. Pomoc dydaktyczna praktycznie niezniszczalna w procesie normalnego użytkowania. 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Dane techniczne: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•  160 x 220 cm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•  listwy + zawieszka 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ucha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Model ucha powiększony 4-krotnie w stosunku do naturalnej wielkości, z przekrojem ucha wewnętrznego – widoczne jego elementy: błona bębenkowa z młoteczkiem, kowadełko oraz błędnik. Na podstawie. Wymiary: min 34 x 16 x 19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skóry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blokowy skóry ludzkiej zdrowej i z oparzeniami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Trójwymiarowy, anatomiczny model skóry ludzkiej w kształcie prostopadłościanu z jednej strony wygląd i budowa zdrowej skóry z drugiej z poparzeniami na podstawie wymiary min</w:t>
            </w:r>
            <w:r w:rsidR="00964F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33x2x33 (H)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Tabela rozpuszczalności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tabela rozpuszczalności/ soli i wodorotlenków w wodzie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wydrukowana na wysokiej jakości folii PP-PRINT, oprawiona w rurki PVC z zawieszką.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Wymiar min 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115 x 155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Profile glebowe – tablica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NormalnyWeb"/>
              <w:shd w:val="clear" w:color="auto" w:fill="F7F7F7"/>
              <w:spacing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Dwustronna plansza przedstawiająca z jednej strony profile najczęściej występujących typów gleb na Ziemi, a z drugiej strony schematyczny profil glebowy.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Zalecany wymiar planszy min: 480 x 680 mm.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Przyborniki laboratoryjne i narzędzia (10 elementów)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zestawów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podstawowy szkła i wyposażenia laboratoryjnego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Skład zestawu</w:t>
            </w:r>
            <w:r w:rsidR="00964F70">
              <w:rPr>
                <w:rStyle w:val="Pogrubieni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cylinder szklany,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miarowy, poj. 10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cylinder szklany,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miarowy, poj. 100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Erlenmayera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podziałką, szklana,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z wąską szyją, poj. 50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Erlenmayera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podziałką, szklana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Automatyczna stacja meteo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Automatyczna stacja meteo - zasilanie sieciowe,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aps/>
                <w:spacing w:val="72"/>
                <w:sz w:val="20"/>
                <w:szCs w:val="20"/>
              </w:rPr>
              <w:t>WYPOSAŻENIE</w:t>
            </w:r>
            <w:r w:rsidR="00964F70">
              <w:rPr>
                <w:rFonts w:asciiTheme="minorHAnsi" w:hAnsiTheme="minorHAnsi" w:cstheme="minorHAnsi"/>
                <w:b/>
                <w:bCs/>
                <w:caps/>
                <w:spacing w:val="72"/>
                <w:sz w:val="20"/>
                <w:szCs w:val="20"/>
              </w:rPr>
              <w:t xml:space="preserve"> minimum: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Kolorowy wyświetlacz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Regulacja jasności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sterowania czasowego włączaniem i wyłączaniem wyświetlacza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Zintegrowany adapter WLAN/Wi-Fi do połączenia z internetowym serwerem czasu (do wyboru) i do przesyłania danych meteorologicznych na serwer www.wunderground.com (jeśli jest taka potrzeba)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ręcznego ustawienia czasu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Strefa czasowa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Tryb 12/24 h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 wyboru: jednostek temperatury (°C, °F) ciśnienia atmosferycznego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hPa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inHg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mmHg) prędkości wiatru (km/h, węzły,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bft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/s, m/s) ilości opadów (mm, in) promieniowania słonecznego (lx,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fc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w/m²)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wyboru formatu wyświetlania daty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Wskaźnik ciśnienia atmosferycznego, z możliwością przełączania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Możliwość ustawienia interwału rejestrowania w zakresie od 1 do 240 minut. Tworzenie kopii zapasowej zapisanych wewnątrz danych pomiarowych na kartach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microSD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A359D7">
              <w:rPr>
                <w:rFonts w:asciiTheme="minorHAnsi" w:hAnsiTheme="minorHAnsi" w:cstheme="minorHAnsi"/>
                <w:sz w:val="20"/>
                <w:szCs w:val="20"/>
              </w:rPr>
              <w:t>microSDHC</w:t>
            </w:r>
            <w:proofErr w:type="spellEnd"/>
            <w:r w:rsidRPr="00A359D7">
              <w:rPr>
                <w:rFonts w:asciiTheme="minorHAnsi" w:hAnsiTheme="minorHAnsi" w:cstheme="minorHAnsi"/>
                <w:sz w:val="20"/>
                <w:szCs w:val="20"/>
              </w:rPr>
              <w:t xml:space="preserve"> (min. 16 GB) możliwość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łatwej obróbki na komputerze dzięki formatowi CSV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Funkcją korekty dla wszystkich wielkości pomiarowych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Funkcja alarmu dla zbyt wysokiej lub zbyt niskiej wartości ustawionej dowolnego pomiaru z możliwością włączenia i wyłączenia. Prognoza pogody na najbliższe 12-24 godzin za pomocą symboli graficznych. Możliwość wyświetlania wartości min. / maks. dla pomiarów. Graficzne i tabelaryczne wartości pomiaru. Montaż na ścianie lub do postawienia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Zasilanie przez zewnętrzny zasilacz wtyczkowy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Czujnik zewnętrzny: zasilany 3 akumulatory ,w zestawie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Wbudowany moduł solarny do ładowania akumulatorów.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Pomiar opadów, prędkość wiatru, kierunku wiatru, temperatury, wilgotności powietrza, ilość światła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montażu na maszcie lub słupie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Zintegrowana poziomica ułatwiająca montaż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Czujnik wewnętrzny: z wyświetlaczem LCD do wyświetlania danych pomiarowych. Interwał pomiarowy 64 sekundy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Temperatura odczuwalna -50 do +25°C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Apteczka do laboratorium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color w:val="272727"/>
                <w:sz w:val="20"/>
                <w:szCs w:val="20"/>
              </w:rPr>
              <w:t>ZAWIERA CO NAJMNIEJ: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lastRenderedPageBreak/>
              <w:t>1 szt. Kompres zimny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Kompres na oko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3 szt. Kompres 10 x 10cm (pak po 2 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Opaska elastyczna 4m x 6cm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Opaska elastyczna 4m x 8cm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. Plaster 10 x 6 cm (8szt.)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. Zestaw plastrów (20szt.)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Przylepiec 5m x 2,5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Opatrunek indywidualny G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3 szt. Opatrunek indywidualny 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Opatrunek indywidualny K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Chusta opatrunkowa 60 x 80cm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Chusta trójkątna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. Chusta z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fliseliny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 (5 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Koc ratunkowy 160 x 210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Nożyczki 19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4 szt. Rękawice winylowe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Worek foliowy 30x40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6 szt. Chusteczka dezynfekująca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Ustnik do sztucznego oddychania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Instrukcja udzielania pierwszej pomocy wraz z wykazem telefonów alarmowych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  <w:r w:rsidR="006C7284">
              <w:rPr>
                <w:rFonts w:asciiTheme="minorHAnsi" w:hAnsiTheme="minorHAnsi" w:cstheme="minorHAnsi"/>
                <w:sz w:val="20"/>
                <w:szCs w:val="20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Zestaw stanowi uniwersalne „narzędzie” zawierające w jednym miejscu: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instrukcję udzielania pierwszej pomocy i obsługi AED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bogato wyposażoną apteczkę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Wyposażenie apteczki pozwala na prawidłowe zabezpieczenie osób poszkodowanych przed przybyciem pogotowia.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Użyteczność punktu jest zwiększona poprzez umieszczenie na nim pełnej instrukcji pierwszej pomocy, zawierającej algorytm postępowania. Przejrzysta forma graficzna przyciąga uwagę, ułatwiając zapamiętanie kolejnych czynności  związanych z udzielaniem pierwszej pomocy.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Instrukcja zgodna z wytycznymi 2010 Europejskiej Rady Resuscytacji</w:t>
            </w:r>
            <w:r w:rsidR="00A534A1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lub równoważnymi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.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Inne cechy: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lastRenderedPageBreak/>
              <w:t>Oznakowanie punktu zgodne z normą PN-EN ISO 7010:2012</w:t>
            </w:r>
            <w:r w:rsidR="00A534A1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lub równoważne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Podstawa punktu wykonana z eleganckiego, przezroczystego </w:t>
            </w:r>
            <w:proofErr w:type="spellStart"/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plexi</w:t>
            </w:r>
            <w:proofErr w:type="spellEnd"/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(łatwa w montażu)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Instrukcja pierwszej pomocy w przejrzystej formie graficznej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Przenośna apteczka pierwszej pomocy umieszczona w oddzielnym opakowaniu wygodnym do zdjęcia</w:t>
            </w:r>
          </w:p>
          <w:p w:rsidR="006F5C21" w:rsidRPr="002F6583" w:rsidRDefault="006F5C21" w:rsidP="006F5C21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Wymiary:</w:t>
            </w:r>
            <w:r w:rsidR="009652D5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min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.68x89x11 cm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Waga: ok.3600 g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 SKŁAD APTECZKI:</w:t>
            </w:r>
          </w:p>
          <w:tbl>
            <w:tblPr>
              <w:tblpPr w:leftFromText="45" w:rightFromText="45" w:vertAnchor="text"/>
              <w:tblW w:w="534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5"/>
              <w:gridCol w:w="695"/>
            </w:tblGrid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/>
                      <w:bCs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Nazwa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/>
                      <w:bCs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Ilość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Bandaż elastyczny 10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Bandaż elastyczny 8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Opaska dziana podtrzymująca 5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Opaska dziana podtrzymująca 10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9 x 9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7 x 7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5 x 5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1/2 m2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Jałowy opatrunek wyspowy 5 x 7,2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Jałowy opatrunek wyspowy 10 x 6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Plaster z opatrunkiem 6 cm x 1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Przylepiec tkaninowy 1,25 cm x 5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Opatrunek hydrożelowy 5 x 5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Chusta trójkątna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Koc ratunkowy 210 x 160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Siatka opatrunkowa CODOFIX 6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Rękawiczki nitrylowe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pary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Maseczka do sztucznego oddychania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Chusteczki do odkażania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20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Kołnierz ortopedyczny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Szyna Kramera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 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Agrafka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Nożyczki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Pęseta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Instrukcja udzielania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Apteczka do punktu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Tablica PLEXI z instrukcją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</w:tbl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Kwasoodporna nakładka na stół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Wykonana ze stali kwasoodpornej </w:t>
            </w:r>
            <w:proofErr w:type="spellStart"/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CrNi</w:t>
            </w:r>
            <w:proofErr w:type="spellEnd"/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18-10, grubości 1 mm (chromoniklowa), stabilna, odporna na uszkodzenia mechaniczne i chemiczne. 10 mm rant, nóżki o </w:t>
            </w:r>
            <w:r w:rsidRPr="00266A3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wysokości max </w:t>
            </w:r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8 mm, wymiary: min 40 x 40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Edukacyjny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-metr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7F7F7"/>
              <w:rPr>
                <w:rFonts w:asciiTheme="minorHAnsi" w:hAnsiTheme="minorHAnsi" w:cstheme="minorHAnsi"/>
                <w:sz w:val="20"/>
                <w:szCs w:val="20"/>
              </w:rPr>
            </w:pP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Wodoszczelny tester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temperatury. Wodoszczelny, elektroniczny tester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temperatury z elektrodą i wyświetlaczem ciekłokrystalicznym (wyświetla jednocześnie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) zasilany czterema (1,5 V) bateriami (350 godzin ciągłego użytkowania). Zakresy: 0,0-14,0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0,0-60,0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Skala: 0,1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0,1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Dokładność (@20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): +/- 0,1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+/- 0,5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Otoczenie: 0-50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, 100 % wilgotności względnej. Automatyczny wyłącznik: po 8 min. Automatyczna kompensacja temperatury. Obudowa wodoszczelna, niezatapialna. Dostarczany z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. buforów kalibracyjnych.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Miernik gleby –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-metr,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Zakres pomiarowy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 do 13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Dokładność pomiaru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0.2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 bateria blokowa 9 V</w:t>
            </w:r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miernika gleby zastaw analizator gleby</w:t>
            </w:r>
          </w:p>
          <w:p w:rsidR="00B66058" w:rsidRPr="002F6583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Kalibracja fabryczna (bez certyfikatu)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Termometr cyfrowy z alarmem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7F7F7"/>
              <w:rPr>
                <w:rFonts w:asciiTheme="minorHAnsi" w:hAnsiTheme="minorHAnsi" w:cstheme="minorHAnsi"/>
                <w:sz w:val="20"/>
                <w:szCs w:val="20"/>
              </w:rPr>
            </w:pP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Termometr do pomiarów cieczy i ciał stałych. Bardzo dokładny termometr elektroniczny z ciekłokrystalicznym wyświetlaczem i 1-metrowym przewodem. Dokonuje pomiarów (0,0) w cieczach i ciałach stałych (także zamarzniętych), a więc także w wodzie i glebie. Zakres pomiarów: -50......+300 </w:t>
            </w:r>
            <w:proofErr w:type="spellStart"/>
            <w:r w:rsidRPr="002D7E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  Dokładność: 0,3</w:t>
            </w:r>
            <w:r w:rsidRPr="002D7E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Konduktometr glebowy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Skala EC 0.00 do 4.00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/cm. Skala temperatury 0,0 do 50,0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Rozdzielczość EC 0.01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/cm. Rozdzielczość temperatury 0,1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Dokładność EC ą 0,05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 (od 0,00 do 2,00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/cm) ą 0,30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 (od 2,00 do 4,00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/cm). Dokładność temperatury ą 1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Korekta temperatury Automatyczna, ze stałym współczynnikiem Temperatury (ß) do 2%/°C. Kalibracja Ręczna, w 1 punkcie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Sonda (y) HI 73331, długość min.122 mm. Zasilanie 4 baterie 1,5 V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 min. 163 x 40 x 26 mm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Walizka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ekobadacza</w:t>
            </w:r>
            <w:proofErr w:type="spellEnd"/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zestawy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 umożliwia: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badanie wody, w tym określanie (reagenty) poziomu fosforanów (PO4), azotanów (NO3), azotynów (NO2), amonu (NH4),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twardości wody, a także badanie osadów i obserwacje wielu innych czynników związanych z wodą.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- badanie gleby, w tym składu i składników gleby (testy reagentami na zawartość fosforanów, azotanów, amonu oraz oznaczanie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gleby), organizmów glebowych, procesu glebotwórczego,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obserwację drobnych organizmów zwierzęcych, lądowych i wodnych, w tym bioindykatorów, </w:t>
            </w:r>
            <w:r w:rsidRPr="002F6583">
              <w:rPr>
                <w:rFonts w:asciiTheme="minorHAnsi" w:hAnsiTheme="minorHAnsi" w:cstheme="minorHAnsi"/>
                <w:color w:val="995A0D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obserwację roślinności, w tym ich zależności od jakości wody i gleby.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Skład zestawu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1 i 2 do wykrywania fosforanów (PO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PO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1 i 2 do wykrywania azotanów (NO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bez oznaczenia wysoka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butelki – reagent 1, 2, 3 do wykrywania amonu (NH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NH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do wykrywania azotynów (NO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butelka – reagent do oznaczania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pojemnik-probówka oznaczona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(oznaczone GH) – reagent do oznaczania twardości wody (Ca/Mg)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Ca/Mg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czarne łyżeczki (na długiej rączce) do nabierania reagentów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pęseta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strzykawka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pipeta z tworzywa (2 szt.)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butla (PE) 100 ml z nakrętką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butla (PE) 250 ml z nakrętką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kubek-naczynie miarowe 120 ml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pudełko z 2 lupami wbudowanymi w pokrywkę i miarką na dnie do obserwacji organizmów lądowych i wodnych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filtry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papierowe-sączki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(25 szt.)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lejek (średnica 75 mm)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stojak-statyw do lejka z filtrami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karta ze skalami kolorymetrycznymi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biały arkusz A4, zmywalny, do oznaczania małych organizmów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2 butle (2 x 250 ml) – reagent 1 (pomocniczy) do wykrywania azotanów, azotynów, amonu i oznaczania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 glebie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butla (250 ml) – reagent 2 (pomocniczy) do wykrywania fosforanów w glebie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instrukcja z kartami opisów wszystkich testów do wody i gleby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żółta, trwała walizka z paskiem do przenoszenia (w środku sztywna gąbka z dopasowanymi otworami do umieszczania elementów zestawu)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Klasowy zestaw do nauki chemii organicznej i nieorganicznej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 edukacyjny do budowy struktur chemicznych z zakresu chemii organicznej i nieorganicznej. Składa się z kulek z otworami symbolizując atomy i pierwiastki oraz łączników symbolizujących wiązania. W zestawie znajduje się min. 370 modeli atomów-pierwiastków oraz min. 150 łączników. Duża ilość elementów zapewnia możliwość budowy wielu struktur chemicznych oraz struktur rozbudowanych. Wszystkie elementy zestawu umieszczone są w plastikowym zamykanym pudełku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Półkule magdeburskie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Służą do wykazywania siły, jaką ciśnienie atmosferyczne dociska dwie zetknięte z sobą i opróżnione półkule.</w:t>
            </w:r>
            <w:r w:rsidR="002536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Półkule - dwie tarcze wklęsłe z uchwytami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Pomoce współdziałające: - pompka ssąca lub pompa próżniowa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 - średnica min.</w:t>
            </w:r>
            <w:r w:rsidR="008B46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Popularny przyrząd przeznaczony do ilustracji 3 zasady dynamiki Newtona, mówiącej, że każdej akcji towarzyszy reakcja równa co do wartości i kierunku, lecz przeciwnie zwrócona. Doskonale nadaje się również do demonstracji zasady zachowania momentu pędu. Wyposażony w 5 stalowych kulek o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śred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min. 25 mm zawieszonych na podwójnych linkach.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Tors człowieka duży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Tors człowieka – model tułowia ludzkiego z głowa 16cz.  Otwarte plecy i szyja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Model tułowia ludzkiego z głową (1/2 naturalnej wielkości) wykonany z trwałego tworzywa sztucznego, żeński. Rozkładany na 16 części. Dodatkowo otwarte plecy i szyja i widoczne liczne szczegóły anatomiczne kręgosłupa i okolic. Wyjmowane: głowa, mózg, oko, płuca (2 części), 2-częściowe serce, wątroba, 2-częściowy żołądek, jelita (4 części), nerka, genitalia żeńskie (2 części) oraz kręgi (3). Wysokość modelu: min.</w:t>
            </w:r>
            <w:r w:rsidR="00764BC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45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RYBY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253630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naturalny ryby zatopiony w przeźroczystym bloku z tworzywa sztucznego( karp)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KRÓLIKA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253630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naturalny królika zatopiony w przezroczystym bloku z tworzywa sztucznego</w:t>
            </w:r>
          </w:p>
        </w:tc>
      </w:tr>
      <w:tr w:rsidR="006F5C21" w:rsidRPr="002F6583" w:rsidTr="00914166">
        <w:trPr>
          <w:gridBefore w:val="1"/>
          <w:wBefore w:w="25" w:type="dxa"/>
          <w:trHeight w:val="73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wnętrza ziemi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Piankowy model ziemi składa się z dwóch części z zewnątrz przedstawia ziemię  niebiesko-zielony wewnątrz przedstawia wnętrze ziemi pomarańczowo-czerwony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Regulamin pracowni chemicznej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Plansza naścienna. Rozmiar planszy: 100 x 70 cm. Krawędź dolna i górna wykończone stalowymi wzmocnieniami. Plansze obustronnie foliowane.</w:t>
            </w:r>
          </w:p>
        </w:tc>
      </w:tr>
      <w:tr w:rsidR="006F5C21" w:rsidRPr="002F6583" w:rsidTr="00914166">
        <w:trPr>
          <w:gridBefore w:val="1"/>
          <w:wBefore w:w="25" w:type="dxa"/>
          <w:trHeight w:val="37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Fartuch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Fartuch laboratoryjny z okularami ochronnymi rozmiar L, bawełniany, biały do przeprowadzania doświadczeń/</w:t>
            </w:r>
          </w:p>
        </w:tc>
      </w:tr>
      <w:tr w:rsidR="006F5C21" w:rsidRPr="002F6583" w:rsidTr="00914166">
        <w:trPr>
          <w:gridBefore w:val="1"/>
          <w:wBefore w:w="25" w:type="dxa"/>
          <w:trHeight w:val="31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Chemiczne domino -gra chemiczna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Gra pozwala przyswoić wiadomości dotyczące takich tematów jak sole, węglowodory, atomy i cząsteczki oraz kwasy i zasady. Na jednej połówce domina zapisany jest wzór chemiczny, a na drugiej - współczesna nazwa. Domino pomoże uczniom zapamiętać wzory i trudne nazewnictwo z zakresu chemii. Grę można wykorzystać do urozmaicenia zajęć w szkole. 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utrwala trudną nomenklaturę chemiczną obowiązującą w gimnazjum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prawidłowego odczytywania symboli i wzorów chemicznych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odróżniać cząsteczki od atomów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uzgadniania wzorów sumarycznych tlenków i ich nazw</w:t>
            </w:r>
          </w:p>
          <w:p w:rsidR="006F5C21" w:rsidRPr="002F6583" w:rsidRDefault="006F5C21" w:rsidP="006F5C21">
            <w:pPr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 minimum: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30 drewnianych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tafelków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(wym. min. 8 x 4 cm),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drewniana skrzynka,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instrukcja</w:t>
            </w:r>
          </w:p>
        </w:tc>
      </w:tr>
      <w:tr w:rsidR="006F5C21" w:rsidRPr="002F6583" w:rsidTr="00914166">
        <w:trPr>
          <w:gridBefore w:val="1"/>
          <w:wBefore w:w="25" w:type="dxa"/>
          <w:trHeight w:val="25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Etykieta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Etykieta laboratoryjna z nadrukiem:60x40 mm-1000szt. / do podpisania pojemników z odczynnikami chemicznymi/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Duża taca na sprzęt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Duża taca na sprzęt laboratoryjny z tworzywa. Wymiary tacy min. 30x20x2 cm /taca aby przenosić sprzęt na dowolne miejsce w klasie/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Kuweta laboratoryjna z rączką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Wykonana z polipropylenu , z bardzo pomocnym uchwytem do przenoszenia. Wymiary kuwety min. 380x240x115mm.</w:t>
            </w:r>
          </w:p>
        </w:tc>
      </w:tr>
      <w:tr w:rsidR="006F5C21" w:rsidRPr="002F6583" w:rsidTr="00914166">
        <w:trPr>
          <w:gridBefore w:val="1"/>
          <w:wBefore w:w="25" w:type="dxa"/>
          <w:trHeight w:val="50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Suszarka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Suszarka laboratoryjna: 55 stanowiska-stal w PCV do suszenia szkła po umyciu, do powieszenia na ścianie.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 rolce 1-14 (papierki do badania odczynu roztworów), min 5 m</w:t>
            </w:r>
          </w:p>
        </w:tc>
      </w:tr>
      <w:tr w:rsidR="006F5C21" w:rsidRPr="002F6583" w:rsidTr="00914166">
        <w:trPr>
          <w:gridBefore w:val="1"/>
          <w:wBefore w:w="25" w:type="dxa"/>
          <w:trHeight w:val="456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Mapy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Antarktyda. Mapa fizyczna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Laminowana dwustronnie folią strukturalną o podwyższonej wytrzymałości na rozdzieranie. Oprawa w drewniane półwałki z zawieszeniem sznurkowym.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Wymiary: min. 160x120 cm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Skala: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1:4 300 000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Ameryka Południowa. Mapa fizyczna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bdr w:val="none" w:sz="0" w:space="0" w:color="auto" w:frame="1"/>
              </w:rPr>
              <w:t>Ameryka Południowa, mapa fizyczna do ćwiczeń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-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mapa zwijana, dwustronna, foliowana.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jednej stronie zamieszczono mapę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Ameryki Południowej na której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przedstawiono ukształtowanie powierzchni kontynentu ( zastosowano metodę hipsometryczną ) rozmieszczenie obiektów hydrograficznych, położenie najważniejszych miejscowości, linii kolejowych i dróg, przebieg granic państw i kontynentów; mapę wyróżnia bogate nazewnictwo fizyczno-geograficzne. Dodatkowo pod mapą zamieszczono przekrój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hipsometrycznyprzez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  <w:t xml:space="preserve">  kontynent południowoamerykański. Na drugiej stronie znajdują się wersje mapy i przekroju  przeznaczone do ćwiczeń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  <w:t>Format: min. 120 cm x 160 cm, Skala: 1 : 8 000 000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Mapa admin. Polski / Polska fiz. z </w:t>
            </w:r>
            <w:proofErr w:type="spellStart"/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el.ekologii</w:t>
            </w:r>
            <w:proofErr w:type="spellEnd"/>
          </w:p>
          <w:p w:rsidR="006F5C21" w:rsidRPr="002F6583" w:rsidRDefault="006F5C21" w:rsidP="006F5C2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Dwustronna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ścienna mapa szkolna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 przedstawiająca ukształtowanie powierzchni Polski.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 Mapę fizyczną Polski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 wzbogacono dodatkowo o informacje na temat ochrony środowiska. Umieszczone są na niej parki narodowe, parki krajobrazowe, ostoje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wodno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- błotne objęte konwencją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Ramsarską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oraz rezerwaty biosfery wpisane na światową listę UNESCO. Mapa wykonana jest najnowocześniejszą techniką pozwalającą na uzyskanie unikalnego efektu trójwymiarowego. Po obu stronach mapy rozmieszczone są uzupełniające informacje i opisy oraz mapka obszarów zagrożenia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ekologicznego.Rewers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mapy  przedstawia aktualną strukturę  administracyjną  Polski. W treści mapy zawarto trzystopniowy podział na województwa, powiaty i gminy z wyróżnieniem siedzib władz właściwych dla każdej jednostki podziału terytorialnego. Na mapie przedstawiono również przebieg autostrad, głównych dróg i linii kolejowych. Stan podziału administracyjnego, status miast oraz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sytuacja drogowa aktualizowana na początku  2014 roku. W panelach bocznych znajdują się informacje o poszczególnych województwach.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Skala: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: 700 000, 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Format: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min. 140 x 100 cm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Mapa krajobrazowa świata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spacing w:val="8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Ścienna mapa szkolna przedstawiająca różnorodność krajobrazową świata. Na cieniowanym podkładzie (z efektem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trójwymiaru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) ukazane jest rozmieszczenie najważniejszych typów krajobrazu na Ziemi. W treści mapy znajdują się również następujące treści: krainy geograficzne, szczyty, wulkany, punkty wysokościowe i głębokościowe, rafy, prądy morskie, granice i nazwy państw, stolice oraz podział na strefy czasowe.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  <w:t xml:space="preserve">Mapa została wzbogacona dodatkowo o zdjęcia obrazujące typowe przykłady krajobrazów. </w:t>
            </w:r>
            <w:r w:rsidRPr="002F6583">
              <w:rPr>
                <w:rStyle w:val="Pogrubienie"/>
                <w:rFonts w:asciiTheme="minorHAnsi" w:hAnsiTheme="minorHAnsi" w:cstheme="minorHAnsi"/>
                <w:spacing w:val="8"/>
                <w:sz w:val="20"/>
                <w:szCs w:val="20"/>
              </w:rPr>
              <w:t>Formaty i skale: min.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160 x 120 cm - 1 : 26 000 000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Świat. Budowa geologiczna Wielkie formy</w:t>
            </w:r>
          </w:p>
          <w:tbl>
            <w:tblPr>
              <w:tblStyle w:val="Zwykatabela41"/>
              <w:tblW w:w="11475" w:type="dxa"/>
              <w:tblLayout w:type="fixed"/>
              <w:tblLook w:val="04A0" w:firstRow="1" w:lastRow="0" w:firstColumn="1" w:lastColumn="0" w:noHBand="0" w:noVBand="1"/>
            </w:tblPr>
            <w:tblGrid>
              <w:gridCol w:w="6581"/>
              <w:gridCol w:w="132"/>
              <w:gridCol w:w="2727"/>
              <w:gridCol w:w="682"/>
              <w:gridCol w:w="682"/>
              <w:gridCol w:w="671"/>
            </w:tblGrid>
            <w:tr w:rsidR="006F5C21" w:rsidRPr="002F6583" w:rsidTr="00714A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0" w:type="dxa"/>
                  <w:gridSpan w:val="6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  <w:t>Świat, budowa geologiczna / formy ukształtowania ukształtowanie powierzchni</w:t>
                  </w: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 – mapa zwijana, dwustronna</w:t>
                  </w:r>
                </w:p>
              </w:tc>
            </w:tr>
            <w:tr w:rsidR="006F5C21" w:rsidRPr="002F6583" w:rsidTr="00714A5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475" w:type="dxa"/>
                  <w:gridSpan w:val="6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foliowana. Na pierwszej stronie w skali 1 : 24 000 000 pokazana budowa geologiczna Świata wraz z mapą</w:t>
                  </w:r>
                </w:p>
              </w:tc>
            </w:tr>
            <w:tr w:rsidR="006F5C21" w:rsidRPr="002F6583" w:rsidTr="00714A5E">
              <w:trPr>
                <w:gridAfter w:val="1"/>
                <w:wAfter w:w="67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22" w:type="dxa"/>
                  <w:gridSpan w:val="5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uzupełniającą: trzęsienia ziemi, wulkany w skali: 1 : 60 000 000, dodatkowo zamieszczono cztery mapy</w:t>
                  </w:r>
                </w:p>
              </w:tc>
            </w:tr>
            <w:tr w:rsidR="006F5C21" w:rsidRPr="002F6583" w:rsidTr="00714A5E">
              <w:trPr>
                <w:gridAfter w:val="4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763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4" w:type="dxa"/>
                  <w:gridSpan w:val="2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w skali: 1 : 140 000 000 pokazujące rozmieszczenie lądów i oceanów.</w:t>
                  </w:r>
                </w:p>
              </w:tc>
            </w:tr>
            <w:tr w:rsidR="006F5C21" w:rsidRPr="002F6583" w:rsidTr="00714A5E">
              <w:trPr>
                <w:gridAfter w:val="2"/>
                <w:wAfter w:w="135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9" w:type="dxa"/>
                  <w:gridSpan w:val="4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Na drugiej stronie przedstawiono w skali: 1 : 24 000 000 wielkie formy ukształtowania powierzchni</w:t>
                  </w:r>
                </w:p>
              </w:tc>
            </w:tr>
            <w:tr w:rsidR="006F5C21" w:rsidRPr="002F6583" w:rsidTr="00714A5E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35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9" w:type="dxa"/>
                  <w:gridSpan w:val="4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Świata z dodatkowymi uzupełniającymi dwiema mapami pokazującymi zróżnicowane nasilenie </w:t>
                  </w:r>
                </w:p>
              </w:tc>
            </w:tr>
            <w:tr w:rsidR="006F5C21" w:rsidRPr="002F6583" w:rsidTr="00714A5E">
              <w:trPr>
                <w:gridAfter w:val="3"/>
                <w:wAfter w:w="2036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56" w:type="dxa"/>
                  <w:gridSpan w:val="3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procesów wewnętrznych oraz strefowość zewnętrznych procesów rzeźbotwórczych w skali: </w:t>
                  </w:r>
                </w:p>
              </w:tc>
            </w:tr>
            <w:tr w:rsidR="006F5C21" w:rsidRPr="002F6583" w:rsidTr="00714A5E">
              <w:trPr>
                <w:gridAfter w:val="5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89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2" w:type="dxa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Format: min. 160 cm x 120 cm</w:t>
                  </w:r>
                </w:p>
              </w:tc>
            </w:tr>
          </w:tbl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Świat strefy klimatyczne elementy klimatu</w:t>
            </w:r>
          </w:p>
          <w:p w:rsidR="006F5C21" w:rsidRPr="002F6583" w:rsidRDefault="006F5C21" w:rsidP="006F5C2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Pierwsza strona zawiera mapę „Świat – strefy klimatyczne” w skali 1:24 000 000, dodatkowo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klimatogramy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wybranych stacji klimatologicznych.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Druga strona zawiera 6 map w skali 1:55 000 000: „Temperatura powietrza w styczniu”, „Temperatura powietrza w lipcu”, „Pory opadów”, „Ciśnienie atmosferyczne i kierunki wiatrów w styczniu”, „Ciśnienie atmosferyczne i kierunki wiatrów </w:t>
            </w:r>
            <w:r w:rsidR="00914166">
              <w:rPr>
                <w:rFonts w:asciiTheme="minorHAnsi" w:hAnsiTheme="minorHAnsi" w:cstheme="minorHAnsi"/>
                <w:sz w:val="20"/>
                <w:szCs w:val="20"/>
              </w:rPr>
              <w:t xml:space="preserve">w lipcu” i „Roczna suma opadów”,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wymiar mapy</w:t>
            </w:r>
            <w:r w:rsidR="009141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min. 120x160 cm.</w:t>
            </w:r>
          </w:p>
        </w:tc>
      </w:tr>
      <w:tr w:rsidR="006F5C21" w:rsidRPr="002F6583" w:rsidTr="00914166">
        <w:trPr>
          <w:gridBefore w:val="1"/>
          <w:wBefore w:w="25" w:type="dxa"/>
          <w:trHeight w:val="22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10145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lny Geograficzny Atlas Świata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tbl>
            <w:tblPr>
              <w:tblW w:w="96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73"/>
            </w:tblGrid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88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5B2F21" w:rsidRDefault="006F5C21" w:rsidP="006F5C2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Licencja bezterminowa i upoważnia do</w:t>
                  </w:r>
                  <w:r w:rsidR="001B3AE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kopiowania i przekazywania atlasu </w:t>
                  </w:r>
                </w:p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uczniom wszystkich roczników w obrębie danej jednostki edukacyjnej.</w:t>
                  </w:r>
                </w:p>
              </w:tc>
            </w:tr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0" w:type="dxa"/>
                    <w:bottom w:w="45" w:type="dxa"/>
                    <w:right w:w="88" w:type="dxa"/>
                  </w:tcMar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Nośnik DVD</w:t>
                  </w:r>
                </w:p>
              </w:tc>
            </w:tr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0" w:type="dxa"/>
                    <w:bottom w:w="45" w:type="dxa"/>
                    <w:right w:w="88" w:type="dxa"/>
                  </w:tcMar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wersja językowa polska</w:t>
                  </w:r>
                </w:p>
              </w:tc>
            </w:tr>
          </w:tbl>
          <w:p w:rsidR="006F5C21" w:rsidRPr="002F6583" w:rsidRDefault="006F5C21" w:rsidP="006F5C21">
            <w:pPr>
              <w:shd w:val="clear" w:color="auto" w:fill="FEFEFE"/>
              <w:spacing w:after="240"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Multimedialny Geograficzny Atlas Świata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 składający się z  interaktywnych map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ogólnogeograficznych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i tematycznych. Zgodny z nową podstawą programową.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Używany za pomocą komputera, projektora czy tablicy interaktywnej zastępuje komplet map ściennych i atlas drukowany, dając wiele więcej możliwości.  Dostępność do aktualnych informacji w każdej chwili.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Zgodność z nową podstawą programową pozwala korzystać z atlasu niezależnie od wyboru podręcznika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Funkcjonalność kreatora map umożliwiająca tworzenie własnych map Dynamiczna skala przeliczająca się w zależności od powiększenia.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Dostosowanie skali do wielkości ekranu czy tablicy.  Opcja drukowania pozwala na wydruk mapy o wybranym obszarze i zakresie treściowym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Warstwy interaktywne zawierające materiał ilustracyjny, animacje, definicje, ciekawostki.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1,50x 1,00m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biała,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powierzchnia ceramiczna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1,00x 1,20m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biała,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powierzchnia ceramiczna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przeźroczystych  </w:t>
            </w:r>
            <w:r w:rsidRPr="005B2F2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wysokość min. 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20 cm (graniastosłupy, ostrosłupy i bryły obrotowe)</w:t>
            </w:r>
          </w:p>
          <w:p w:rsidR="006F5C21" w:rsidRPr="002F6583" w:rsidRDefault="006F5C21" w:rsidP="006F5C21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Ostrosłup prawidłowy o podstawie kwadratu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Ostrosłup prawidłowy o podstawie trójkąta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Ostrosłup prawidłowy o podstawie sześciokąta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kwadratu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trójkąta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sześciokąta równobocznego</w:t>
            </w:r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 xml:space="preserve">walec z zaznaczonymi przekątnymi i wysokością walec z płaszczyznami stożek z zaznaczonymi przekątnymi i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i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 xml:space="preserve"> wysokością stożek z płaszczyznami kula z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lastRenderedPageBreak/>
              <w:t>płaszczyznami i przekątnymi półkula do pisania flamastrami sucho ścieralnymi,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sześcian z wpisanym ośmiościanem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sześcian z zaznaczonymi przekątnymi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czworościan z wpisanym czworościanem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czworościan z zaznaczonymi wysokościami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ZESTAW BRYŁ PEŁNYCH DO MIERZENIA I PORÓWNAŃ OBJĘTOŚCI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Komplet podstawowych modeli brył geometrycznych, wykonanych bez ścian podstaw , dzięki czemu można wypełniać je porównawczo wodą lub materiałami sypkimi. Wysokość </w:t>
            </w:r>
            <w:r w:rsidRPr="00CE681B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brył min. 15cm.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 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 skład zestawu wchodzą minimum: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prostopadłościan o podstawie kwadratu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ostrosłup o podstawie kwadratu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walec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stożek</w:t>
            </w:r>
          </w:p>
        </w:tc>
      </w:tr>
      <w:tr w:rsidR="006F5C21" w:rsidRPr="002F6583" w:rsidTr="00914166">
        <w:trPr>
          <w:trHeight w:val="504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6717B4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6F5C21" w:rsidRPr="002F6583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Nakładka magnetyczna na tablicę UKŁAD WSPÓŁRZĘDNYCH</w:t>
              </w:r>
            </w:hyperlink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Nakładka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o wymiarach 92 x 83 cm do mocowania na szkolnych tablicach magnetycznych. Wykonana z PCV pozwalającego na wykorzystywanie pisaków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suchościeralnych</w:t>
            </w:r>
            <w:proofErr w:type="spellEnd"/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W zestawie minimum: nakładka, zestaw pisaków, magnesy </w:t>
            </w:r>
            <w:proofErr w:type="spellStart"/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kpl</w:t>
            </w:r>
            <w:proofErr w:type="spellEnd"/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 6szt. oraz gąbka magnetyczna</w:t>
            </w:r>
          </w:p>
        </w:tc>
      </w:tr>
      <w:tr w:rsidR="006F5C21" w:rsidRPr="002F6583" w:rsidTr="00914166">
        <w:trPr>
          <w:trHeight w:val="492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Przybory PCV magnetyczne do tablicy PCV białej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Wykonane z grubego, odpornego na zginanie spienionego PCV. Na spodniej stronie znajdują się magnesy umożliwiające przytwierdzenie narzędzi do tablicy o powierzchni magnetycznej.</w:t>
            </w:r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zestawie minimum: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ekierka magnetyczna 60°, ekierka magnetyczna 45°, kątomierz magnetyczny, linijka magnetyczna 100 cm, cyrkiel z przyssawką silikonową.</w:t>
            </w:r>
          </w:p>
        </w:tc>
      </w:tr>
      <w:tr w:rsidR="006F5C21" w:rsidRPr="002F6583" w:rsidTr="00914166">
        <w:trPr>
          <w:trHeight w:val="432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6717B4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6F5C21" w:rsidRPr="002F6583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Ułamki magnetyczne z sortownikiem koła</w:t>
              </w:r>
            </w:hyperlink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Zestaw 9 kół wykonanych z kolorowej folii magnetycznej pozwala nauczycielowi demonstrować właściwości ułamków, ilustrować zadania ułamkowe, a uczniom rozwiązywać przy tablicy obliczenia ułamkowe na konkretnych materiale manipulacyjnym. Koła reprezentują ułamki: 1, 1/2, 1/3, 1/4, 1/5/, 1/6, 1/8, 1/10, 1/12.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Pomoc charakteryzuje się trwałością, elementy można przecierać na mokro, dobrze przylegają one do tablic magnetycznych</w:t>
            </w:r>
          </w:p>
        </w:tc>
      </w:tr>
      <w:tr w:rsidR="005C75CA" w:rsidRPr="002F6583" w:rsidTr="00914166">
        <w:trPr>
          <w:trHeight w:val="492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Magnetyczny przyrząd tablicowy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5C75CA" w:rsidRPr="002F6583" w:rsidRDefault="005C75CA" w:rsidP="005C75CA">
            <w:pPr>
              <w:pStyle w:val="NormalnyWeb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Magnetyczny przyrząd tablicowy do budowy trójkątów, prezentacji i obliczania wysokości i pola trójkątów, prezentacji i mierzenia kątów oraz demonstracji prawa Talesa i prawa Pitagorasa. Można też wykorzystać przyrząd jako oś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liczbową i ćwiartkę układu współrzędnych. Jest magnetyczny i duży, widoczny jest więc w szkole z każdego miejsca w klasie.</w:t>
            </w:r>
          </w:p>
          <w:p w:rsidR="005C75CA" w:rsidRPr="002F6583" w:rsidRDefault="005C75CA" w:rsidP="005C75CA">
            <w:pPr>
              <w:pStyle w:val="NormalnyWeb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wykonany jest z kolorowego plexiglasu z wygrawerowanymi (a więc nieścieralnymi) punktami i jednostkami. Składa się z połączonych ramion głównych, każdy długości 65 cm, dwóch ramion pomocniczych, każdy o długości 60 cm, oraz kątomierza 0-90 stopni.</w:t>
            </w:r>
          </w:p>
        </w:tc>
      </w:tr>
      <w:tr w:rsidR="005C75CA" w:rsidRPr="002F6583" w:rsidTr="00914166">
        <w:trPr>
          <w:trHeight w:val="39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56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Bryły szkieletowe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Bryły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szkieletowe-zestaw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do budowy modeli brył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aps/>
                <w:sz w:val="20"/>
                <w:szCs w:val="20"/>
              </w:rPr>
              <w:t>(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wielość otworów w kulkach pozwala łączyć je ze sobą za pomocą patyczków pod różnymi kątami)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Zestaw składa się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 min. 69</w:t>
            </w:r>
            <w:r w:rsidRPr="002F6583">
              <w:rPr>
                <w:rStyle w:val="apple-converted-space"/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elementów: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Min 25 szt.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kulek o średnicy  min 6,0 cm z otworami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Min 44 szt.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rurek łącznikowych o długości min 40,5 cm każda.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57.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1"/>
              <w:shd w:val="clear" w:color="auto" w:fill="FFFFFF"/>
              <w:spacing w:before="0" w:line="360" w:lineRule="atLeast"/>
              <w:outlineLvl w:val="0"/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  <w:t>Waga szalkowa metalowa z odważnikami</w:t>
            </w:r>
          </w:p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Waga szalkowa laboratoryjna.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Zestaw zawiera min. 19 odważników od 10 mg do 200 g.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Udźwig:  min. 500 g.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Podziałka: 20 mg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Wymiary: szerokość x długość x wysokość min.12 x 300 x 300 cm.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wraz z kompletem plastikowych ramek - 16 sztuk, służy do pokazu powstawania brył obrotowych.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Skład zestawu</w:t>
            </w:r>
            <w:r w:rsidR="0010145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: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stelaż z ramieniem do mocowania ramek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osłona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zasilacz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Suwmiarka demonstracyjna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Może być stosowana do pomiaru głębokości, szerokości i grubości większości kształtów. Zakres: od 1 do 30 cm. wym. min. 42 x 19,5 cm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Miara zwijana   30 m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Materiał </w:t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bdr w:val="none" w:sz="0" w:space="0" w:color="auto" w:frame="1"/>
              </w:rPr>
              <w:t>Stal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span12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Taśma miernicza stalowa o długości 30 m z przesuniętym punktem „0”. Pokrycie taśmy nylonem chroni nadruk przed ścieraniem. Praktyczny kształt i wielkość obudowy umożliwiają pewny chwyt oraz ułatwiają przechowywanie i transport. Zaczep końcowy pozwala na zamocowanie taśmy, co ułatwia dokonanie pomiaru.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  <w:t>Kalkulatory w pojemniku: 30+1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30 sztuk kalkulatorów uczniowskich i jeden kalkulator nauczycielski, wszystkie umieszczone w plastikowym pojemniku z miękkimi przegródkami. Kalkulatory mają podwójne zasilanie: bateryjne (baterie są już umieszczone w kalkulatorach) oraz ogniwem słonecznym. Wyposażone są w przyciski do wszystkich czterech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podstawowych działań matematycznych, a także w przyciski pierwiastek i procent oraz przyciski pamięci (M+, M-, MRC).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F691A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62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Symetria lustrzana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zestawów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Jest to prosty zestaw manipulacyjny przeznaczony do ilustrowania pojęcia symetrii osiowej na płaszczyźnie oraz do rozwijania wyobraźni geometrycznej</w:t>
            </w:r>
          </w:p>
          <w:p w:rsidR="005C75CA" w:rsidRPr="002F6583" w:rsidRDefault="005C75CA" w:rsidP="005C75CA">
            <w:pPr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 skład zestawu wchodzi </w:t>
            </w:r>
            <w:r w:rsidR="006D4C1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lusterko, drewniany klocek wspierający, karty ze wzorami oraz dwa kolorowe klocki.</w:t>
            </w:r>
          </w:p>
        </w:tc>
      </w:tr>
      <w:tr w:rsidR="00275636" w:rsidRPr="002F6583" w:rsidTr="00914166">
        <w:trPr>
          <w:trHeight w:val="516"/>
        </w:trPr>
        <w:tc>
          <w:tcPr>
            <w:tcW w:w="562" w:type="dxa"/>
            <w:gridSpan w:val="2"/>
          </w:tcPr>
          <w:p w:rsidR="00275636" w:rsidRPr="002F6583" w:rsidRDefault="00275636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63. </w:t>
            </w:r>
          </w:p>
        </w:tc>
        <w:tc>
          <w:tcPr>
            <w:tcW w:w="1877" w:type="dxa"/>
            <w:gridSpan w:val="2"/>
          </w:tcPr>
          <w:p w:rsidR="00275636" w:rsidRPr="002F6583" w:rsidRDefault="00275636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</w:pPr>
            <w:r w:rsidRPr="0027563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Interaktywny i bezprzewodowy system weryfikacji  wiedzy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75636" w:rsidRPr="002F6583" w:rsidRDefault="00275636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6" w:rsidRPr="002F6583" w:rsidRDefault="00275636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275636" w:rsidRPr="002F6583" w:rsidRDefault="00275636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Interaktywny i bezprzewodowy system weryfikacji  wiedzy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Kompaktowe piloty do odpowiedzi, testów i głosowań. Każdy z nich został wyposażony w 5 klawiszy umożliwiających udzielanie odpowiedzi na pytania jednokrotnego wyboru, wielokrotnego wyboru, prawda - fałsz. Idealny zarówno dla małych, średnich i dużych grup (do 1000 osób).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Piloty korzystają z technologii radiowej do przesyłania odpowiedzi do komputera prowadzącego dzięki czemu piloty i odbiornik nie muszą być w polu wzajemnego widzenia. Wyposażony jest w diodę sygnalizujące odebranie odpowiedzi przez system.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W połączeniu z oprogramowaniem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Turning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Point 5 piloty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ResponseCard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LT stają się narzędziem ułatwiającym pracę nauczycieli oraz zwiększającym zaangażowanie uczniów. Jest to również narzędzie które doskonale się na spotkaniach biznesowych a także szkoleniach.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Dzięki pilotom będziesz mógł błyskawicznie przeprowadzić: głosowanie, test, ankietę. Zaoszczędzisz swój czas który do tej pory przeznaczałeś na czasochłonne sprawdzanie testów oraz podliczanie punktów i wystawianie ocen.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W skład zestawu wchodzą 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32 piloty radiowe LT, walizka do przechowywania pilotów i odbiornik Offline oraz 10 letnia licencja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TurningPoint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Offline dla maks. 50 pilotów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Wymiary i Waga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Wysokość: 2.9 "(74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Szerokość: 1.8" (45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Grubość: 0.28" (7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Zasięg działania: 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60 metrów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Przyciski 5 przycisków (1/A - 5/E) przycisk do zmiany kanału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Zasilanie 1 bateria CR2032. Żywotność baterii od 1 roku do 2 lat (w zależności od częstotliwości użytkowania) 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Wyświetlacz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Dioda LED - sygnalizuje odebranie odpowiedzi przez system</w:t>
            </w:r>
          </w:p>
          <w:p w:rsidR="00275636" w:rsidRPr="00277EA4" w:rsidRDefault="00275636" w:rsidP="0027563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Technologia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RF 25 </w:t>
            </w: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kanałów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Ceryfikaty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FCC, CE and Industry Canada certified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Nie koliduje z pracą innych technologii</w:t>
            </w:r>
          </w:p>
          <w:p w:rsidR="00275636" w:rsidRPr="002F6583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Kompatybilny z odbiornikami RF+(RRRF-03), RF (RRRF-04)</w:t>
            </w:r>
          </w:p>
        </w:tc>
      </w:tr>
    </w:tbl>
    <w:p w:rsidR="00E17313" w:rsidRPr="00104CE0" w:rsidRDefault="00E17313" w:rsidP="005E790E">
      <w:pPr>
        <w:spacing w:line="288" w:lineRule="auto"/>
        <w:rPr>
          <w:rFonts w:asciiTheme="minorHAnsi" w:hAnsiTheme="minorHAnsi" w:cstheme="minorHAnsi"/>
          <w:highlight w:val="yellow"/>
        </w:rPr>
      </w:pPr>
    </w:p>
    <w:p w:rsidR="006D1919" w:rsidRPr="00104CE0" w:rsidRDefault="006D1919" w:rsidP="006D191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 xml:space="preserve">Zamawiający w tabeli określił minimalne wymagania dotyczące zamawianego sprzętu i asortymentu. Wykonawca może zaoferować asortyment o wyższych parametrach niż określone przez Zamawiającego. Zaoferowanie sprzętu, asortymentu o parametrach mniejszych niż określone w </w:t>
      </w:r>
      <w:proofErr w:type="spellStart"/>
      <w:r w:rsidRPr="00104CE0">
        <w:rPr>
          <w:rFonts w:asciiTheme="minorHAnsi" w:hAnsiTheme="minorHAnsi" w:cstheme="minorHAnsi"/>
          <w:b/>
          <w:sz w:val="20"/>
          <w:szCs w:val="20"/>
        </w:rPr>
        <w:t>siwz</w:t>
      </w:r>
      <w:proofErr w:type="spellEnd"/>
      <w:r w:rsidRPr="00104CE0">
        <w:rPr>
          <w:rFonts w:asciiTheme="minorHAnsi" w:hAnsiTheme="minorHAnsi" w:cstheme="minorHAnsi"/>
          <w:b/>
          <w:sz w:val="20"/>
          <w:szCs w:val="20"/>
        </w:rPr>
        <w:t xml:space="preserve"> lub brak zaoferowania któregokolwiek z wymaganych parametrów spowoduje odrzucenie oferty na podstawie art. 89 ust.1 pkt.2 </w:t>
      </w:r>
      <w:proofErr w:type="spellStart"/>
      <w:r w:rsidRPr="00104CE0">
        <w:rPr>
          <w:rFonts w:asciiTheme="minorHAnsi" w:hAnsiTheme="minorHAnsi" w:cstheme="minorHAnsi"/>
          <w:b/>
          <w:sz w:val="20"/>
          <w:szCs w:val="20"/>
        </w:rPr>
        <w:t>upzp</w:t>
      </w:r>
      <w:proofErr w:type="spellEnd"/>
      <w:r w:rsidRPr="00104CE0">
        <w:rPr>
          <w:rFonts w:asciiTheme="minorHAnsi" w:hAnsiTheme="minorHAnsi" w:cstheme="minorHAnsi"/>
          <w:b/>
          <w:sz w:val="20"/>
          <w:szCs w:val="20"/>
        </w:rPr>
        <w:t xml:space="preserve">. Przedstawione przez Wykonawcę parametry muszą w sposób jednoznaczny określać, że oferowany sprzęt, asortyment spełnia postawione przez Zamawiającego wymagania. </w:t>
      </w:r>
      <w:r w:rsidRPr="00104CE0">
        <w:rPr>
          <w:rFonts w:asciiTheme="minorHAnsi" w:hAnsiTheme="minorHAnsi" w:cstheme="minorHAnsi"/>
          <w:b/>
          <w:sz w:val="20"/>
          <w:szCs w:val="20"/>
          <w:u w:val="single"/>
        </w:rPr>
        <w:t>W przypadku zaoferowania asortymentu o parametrach wyższych niż wymagane przez Zamawiającego, Wykonawca obowiązany jest je dokładnie opisać.</w:t>
      </w:r>
    </w:p>
    <w:p w:rsidR="006D1919" w:rsidRPr="00104CE0" w:rsidRDefault="006D1919" w:rsidP="006D1919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D1919" w:rsidRPr="00104CE0" w:rsidRDefault="006D1919" w:rsidP="006D1919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D1919" w:rsidRPr="00104CE0" w:rsidRDefault="006D1919" w:rsidP="00104CE0">
      <w:pPr>
        <w:spacing w:line="276" w:lineRule="auto"/>
        <w:ind w:left="8496"/>
        <w:rPr>
          <w:rFonts w:asciiTheme="minorHAnsi" w:hAnsiTheme="minorHAnsi" w:cstheme="minorHAnsi"/>
          <w:b/>
          <w:sz w:val="20"/>
          <w:szCs w:val="20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>………………………………………………</w:t>
      </w:r>
    </w:p>
    <w:p w:rsidR="006D1919" w:rsidRPr="00104CE0" w:rsidRDefault="006D1919" w:rsidP="00104CE0">
      <w:pPr>
        <w:spacing w:line="276" w:lineRule="auto"/>
        <w:ind w:left="849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 xml:space="preserve">            Podpis Wykonawcy</w:t>
      </w:r>
    </w:p>
    <w:p w:rsidR="006D1919" w:rsidRPr="004E0CF2" w:rsidRDefault="006D1919" w:rsidP="006D1919">
      <w:pPr>
        <w:spacing w:line="276" w:lineRule="auto"/>
        <w:rPr>
          <w:b/>
          <w:sz w:val="20"/>
          <w:szCs w:val="20"/>
        </w:rPr>
      </w:pPr>
    </w:p>
    <w:p w:rsidR="00FB7822" w:rsidRDefault="00FB7822" w:rsidP="005E790E">
      <w:pPr>
        <w:spacing w:line="288" w:lineRule="auto"/>
        <w:rPr>
          <w:highlight w:val="yellow"/>
        </w:rPr>
      </w:pPr>
    </w:p>
    <w:sectPr w:rsidR="00FB7822" w:rsidSect="006D4CCD">
      <w:headerReference w:type="default" r:id="rId11"/>
      <w:pgSz w:w="16838" w:h="11906" w:orient="landscape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B4" w:rsidRDefault="006717B4" w:rsidP="006C36C6">
      <w:r>
        <w:separator/>
      </w:r>
    </w:p>
  </w:endnote>
  <w:endnote w:type="continuationSeparator" w:id="0">
    <w:p w:rsidR="006717B4" w:rsidRDefault="006717B4" w:rsidP="006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B4" w:rsidRDefault="006717B4" w:rsidP="006C36C6">
      <w:r>
        <w:separator/>
      </w:r>
    </w:p>
  </w:footnote>
  <w:footnote w:type="continuationSeparator" w:id="0">
    <w:p w:rsidR="006717B4" w:rsidRDefault="006717B4" w:rsidP="006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DD" w:rsidRDefault="00B10DD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-290830</wp:posOffset>
          </wp:positionV>
          <wp:extent cx="5760720" cy="944880"/>
          <wp:effectExtent l="0" t="0" r="0" b="762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>
    <w:nsid w:val="00000003"/>
    <w:multiLevelType w:val="singleLevel"/>
    <w:tmpl w:val="DBCE2C28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</w:abstractNum>
  <w:abstractNum w:abstractNumId="2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</w:abstractNum>
  <w:abstractNum w:abstractNumId="3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rFonts w:ascii="Bookman Old Style" w:hAnsi="Bookman Old Style" w:cs="Bookman Old Style"/>
        <w:b/>
        <w:bCs/>
        <w:sz w:val="20"/>
      </w:r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26958"/>
    <w:multiLevelType w:val="multilevel"/>
    <w:tmpl w:val="667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E7D14"/>
    <w:multiLevelType w:val="multilevel"/>
    <w:tmpl w:val="5C2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E0276"/>
    <w:multiLevelType w:val="multilevel"/>
    <w:tmpl w:val="393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13A9E"/>
    <w:multiLevelType w:val="multilevel"/>
    <w:tmpl w:val="DCD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B7437"/>
    <w:multiLevelType w:val="multilevel"/>
    <w:tmpl w:val="53E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22BB1"/>
    <w:multiLevelType w:val="multilevel"/>
    <w:tmpl w:val="A58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637A4"/>
    <w:multiLevelType w:val="multilevel"/>
    <w:tmpl w:val="7D2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606AE"/>
    <w:multiLevelType w:val="multilevel"/>
    <w:tmpl w:val="D5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82EDF"/>
    <w:multiLevelType w:val="multilevel"/>
    <w:tmpl w:val="BB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D4B77"/>
    <w:multiLevelType w:val="multilevel"/>
    <w:tmpl w:val="97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7415B"/>
    <w:multiLevelType w:val="multilevel"/>
    <w:tmpl w:val="076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AF3860"/>
    <w:multiLevelType w:val="multilevel"/>
    <w:tmpl w:val="059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73ADA"/>
    <w:multiLevelType w:val="multilevel"/>
    <w:tmpl w:val="FB7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801CB"/>
    <w:multiLevelType w:val="multilevel"/>
    <w:tmpl w:val="0BC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895642"/>
    <w:multiLevelType w:val="multilevel"/>
    <w:tmpl w:val="C0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D15E4"/>
    <w:multiLevelType w:val="multilevel"/>
    <w:tmpl w:val="150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20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83"/>
    <w:rsid w:val="00003C0F"/>
    <w:rsid w:val="00012188"/>
    <w:rsid w:val="00023488"/>
    <w:rsid w:val="000249A7"/>
    <w:rsid w:val="00026C19"/>
    <w:rsid w:val="00027105"/>
    <w:rsid w:val="0003759B"/>
    <w:rsid w:val="000508B0"/>
    <w:rsid w:val="00050A0B"/>
    <w:rsid w:val="000613C7"/>
    <w:rsid w:val="0006571C"/>
    <w:rsid w:val="000741DA"/>
    <w:rsid w:val="00085EE1"/>
    <w:rsid w:val="000B3EAD"/>
    <w:rsid w:val="000F1A41"/>
    <w:rsid w:val="00101451"/>
    <w:rsid w:val="00104CE0"/>
    <w:rsid w:val="001076F6"/>
    <w:rsid w:val="001114FC"/>
    <w:rsid w:val="0012093B"/>
    <w:rsid w:val="00123546"/>
    <w:rsid w:val="001310E8"/>
    <w:rsid w:val="00132B16"/>
    <w:rsid w:val="00135BEE"/>
    <w:rsid w:val="00137D9A"/>
    <w:rsid w:val="00141119"/>
    <w:rsid w:val="00143367"/>
    <w:rsid w:val="0014344C"/>
    <w:rsid w:val="0016309A"/>
    <w:rsid w:val="00174F34"/>
    <w:rsid w:val="00175212"/>
    <w:rsid w:val="00186844"/>
    <w:rsid w:val="001913B2"/>
    <w:rsid w:val="001B3AE2"/>
    <w:rsid w:val="001B7E81"/>
    <w:rsid w:val="001C2254"/>
    <w:rsid w:val="001C45EC"/>
    <w:rsid w:val="001D336D"/>
    <w:rsid w:val="001D5CE6"/>
    <w:rsid w:val="001E000E"/>
    <w:rsid w:val="001E6D33"/>
    <w:rsid w:val="001E70A7"/>
    <w:rsid w:val="00204DF0"/>
    <w:rsid w:val="002101C0"/>
    <w:rsid w:val="00215BB5"/>
    <w:rsid w:val="002430E1"/>
    <w:rsid w:val="00251574"/>
    <w:rsid w:val="00253630"/>
    <w:rsid w:val="00256010"/>
    <w:rsid w:val="00256051"/>
    <w:rsid w:val="00263606"/>
    <w:rsid w:val="00266A33"/>
    <w:rsid w:val="00271DB2"/>
    <w:rsid w:val="00274F9F"/>
    <w:rsid w:val="00275636"/>
    <w:rsid w:val="00277EA4"/>
    <w:rsid w:val="00285AA1"/>
    <w:rsid w:val="00292BE5"/>
    <w:rsid w:val="002A25AC"/>
    <w:rsid w:val="002B6D93"/>
    <w:rsid w:val="002D2CFE"/>
    <w:rsid w:val="002D6D9D"/>
    <w:rsid w:val="002D7EF6"/>
    <w:rsid w:val="002E0CED"/>
    <w:rsid w:val="002F6583"/>
    <w:rsid w:val="00300266"/>
    <w:rsid w:val="00310CB0"/>
    <w:rsid w:val="003123CB"/>
    <w:rsid w:val="00314D8D"/>
    <w:rsid w:val="00324258"/>
    <w:rsid w:val="00335678"/>
    <w:rsid w:val="0034560A"/>
    <w:rsid w:val="00354038"/>
    <w:rsid w:val="00370FC2"/>
    <w:rsid w:val="00390FA2"/>
    <w:rsid w:val="003912B7"/>
    <w:rsid w:val="0039688A"/>
    <w:rsid w:val="003A4E82"/>
    <w:rsid w:val="003C45FE"/>
    <w:rsid w:val="003C4F83"/>
    <w:rsid w:val="003C668E"/>
    <w:rsid w:val="003D22FD"/>
    <w:rsid w:val="003D3C3D"/>
    <w:rsid w:val="003D4245"/>
    <w:rsid w:val="0040015C"/>
    <w:rsid w:val="00400C33"/>
    <w:rsid w:val="00400C48"/>
    <w:rsid w:val="00424F88"/>
    <w:rsid w:val="00432477"/>
    <w:rsid w:val="004325F7"/>
    <w:rsid w:val="004375FD"/>
    <w:rsid w:val="0044228F"/>
    <w:rsid w:val="00470409"/>
    <w:rsid w:val="00475A01"/>
    <w:rsid w:val="00485CDA"/>
    <w:rsid w:val="00486971"/>
    <w:rsid w:val="004A4578"/>
    <w:rsid w:val="004B4E41"/>
    <w:rsid w:val="004B6B3D"/>
    <w:rsid w:val="004C0284"/>
    <w:rsid w:val="004D3A01"/>
    <w:rsid w:val="004D4B38"/>
    <w:rsid w:val="004D7364"/>
    <w:rsid w:val="004F74AB"/>
    <w:rsid w:val="00503113"/>
    <w:rsid w:val="0054345D"/>
    <w:rsid w:val="00565F56"/>
    <w:rsid w:val="0056725A"/>
    <w:rsid w:val="005677AA"/>
    <w:rsid w:val="00573BDB"/>
    <w:rsid w:val="005752B6"/>
    <w:rsid w:val="005B2F21"/>
    <w:rsid w:val="005C75CA"/>
    <w:rsid w:val="005D1276"/>
    <w:rsid w:val="005D7FF1"/>
    <w:rsid w:val="005E29FA"/>
    <w:rsid w:val="005E790E"/>
    <w:rsid w:val="005F4999"/>
    <w:rsid w:val="00631482"/>
    <w:rsid w:val="0063519C"/>
    <w:rsid w:val="00646CC5"/>
    <w:rsid w:val="006507CD"/>
    <w:rsid w:val="00662946"/>
    <w:rsid w:val="006655B8"/>
    <w:rsid w:val="006717B4"/>
    <w:rsid w:val="006765A2"/>
    <w:rsid w:val="006863C6"/>
    <w:rsid w:val="006938DD"/>
    <w:rsid w:val="006943BE"/>
    <w:rsid w:val="006A7043"/>
    <w:rsid w:val="006A7E81"/>
    <w:rsid w:val="006C36C6"/>
    <w:rsid w:val="006C7284"/>
    <w:rsid w:val="006D1919"/>
    <w:rsid w:val="006D4C12"/>
    <w:rsid w:val="006D4CCD"/>
    <w:rsid w:val="006D51C8"/>
    <w:rsid w:val="006E1CC2"/>
    <w:rsid w:val="006E3CA9"/>
    <w:rsid w:val="006E6A95"/>
    <w:rsid w:val="006F53AA"/>
    <w:rsid w:val="006F5C21"/>
    <w:rsid w:val="00706A49"/>
    <w:rsid w:val="007135D6"/>
    <w:rsid w:val="00714A5E"/>
    <w:rsid w:val="00720829"/>
    <w:rsid w:val="00721DC0"/>
    <w:rsid w:val="00727096"/>
    <w:rsid w:val="007274BB"/>
    <w:rsid w:val="00740108"/>
    <w:rsid w:val="007417AA"/>
    <w:rsid w:val="007510DD"/>
    <w:rsid w:val="007629D8"/>
    <w:rsid w:val="00764BC6"/>
    <w:rsid w:val="007659F3"/>
    <w:rsid w:val="00774989"/>
    <w:rsid w:val="007829D1"/>
    <w:rsid w:val="0078414C"/>
    <w:rsid w:val="00793C9C"/>
    <w:rsid w:val="00796A73"/>
    <w:rsid w:val="007B55DB"/>
    <w:rsid w:val="007D2E51"/>
    <w:rsid w:val="007D6BFE"/>
    <w:rsid w:val="007E3683"/>
    <w:rsid w:val="007E7E9E"/>
    <w:rsid w:val="007F1CD7"/>
    <w:rsid w:val="008049B1"/>
    <w:rsid w:val="00810CA3"/>
    <w:rsid w:val="008111D9"/>
    <w:rsid w:val="00820E81"/>
    <w:rsid w:val="00834045"/>
    <w:rsid w:val="00853838"/>
    <w:rsid w:val="00856299"/>
    <w:rsid w:val="00856397"/>
    <w:rsid w:val="00865EA4"/>
    <w:rsid w:val="00866B7C"/>
    <w:rsid w:val="008857E7"/>
    <w:rsid w:val="008967AD"/>
    <w:rsid w:val="008A1F81"/>
    <w:rsid w:val="008A5FE3"/>
    <w:rsid w:val="008B46BD"/>
    <w:rsid w:val="008B4EB0"/>
    <w:rsid w:val="008C05F1"/>
    <w:rsid w:val="008C2B85"/>
    <w:rsid w:val="008C5BE8"/>
    <w:rsid w:val="008D24A6"/>
    <w:rsid w:val="008D40DD"/>
    <w:rsid w:val="008D6675"/>
    <w:rsid w:val="008E62F5"/>
    <w:rsid w:val="008F2DDC"/>
    <w:rsid w:val="008F3EBB"/>
    <w:rsid w:val="009113F6"/>
    <w:rsid w:val="00911E1B"/>
    <w:rsid w:val="00914166"/>
    <w:rsid w:val="00915318"/>
    <w:rsid w:val="009216D3"/>
    <w:rsid w:val="00931A14"/>
    <w:rsid w:val="00945EA8"/>
    <w:rsid w:val="00964F70"/>
    <w:rsid w:val="009652D5"/>
    <w:rsid w:val="00967F83"/>
    <w:rsid w:val="00982629"/>
    <w:rsid w:val="00984303"/>
    <w:rsid w:val="00990676"/>
    <w:rsid w:val="00991756"/>
    <w:rsid w:val="00993D47"/>
    <w:rsid w:val="00995014"/>
    <w:rsid w:val="00996483"/>
    <w:rsid w:val="009A18BA"/>
    <w:rsid w:val="009D46F0"/>
    <w:rsid w:val="009E594B"/>
    <w:rsid w:val="00A13F02"/>
    <w:rsid w:val="00A14D03"/>
    <w:rsid w:val="00A16CF6"/>
    <w:rsid w:val="00A200A4"/>
    <w:rsid w:val="00A359D7"/>
    <w:rsid w:val="00A52441"/>
    <w:rsid w:val="00A534A1"/>
    <w:rsid w:val="00A66C65"/>
    <w:rsid w:val="00A82F69"/>
    <w:rsid w:val="00AA01E8"/>
    <w:rsid w:val="00AB4878"/>
    <w:rsid w:val="00AB6C92"/>
    <w:rsid w:val="00AC5E89"/>
    <w:rsid w:val="00AC7FC6"/>
    <w:rsid w:val="00AD3631"/>
    <w:rsid w:val="00B002B9"/>
    <w:rsid w:val="00B00AF1"/>
    <w:rsid w:val="00B078C3"/>
    <w:rsid w:val="00B10DDD"/>
    <w:rsid w:val="00B36AD4"/>
    <w:rsid w:val="00B40EB1"/>
    <w:rsid w:val="00B51D5B"/>
    <w:rsid w:val="00B539FF"/>
    <w:rsid w:val="00B66058"/>
    <w:rsid w:val="00B71BFD"/>
    <w:rsid w:val="00B8451D"/>
    <w:rsid w:val="00BA5FCD"/>
    <w:rsid w:val="00BD4B2C"/>
    <w:rsid w:val="00BD69AA"/>
    <w:rsid w:val="00C27C70"/>
    <w:rsid w:val="00C320E6"/>
    <w:rsid w:val="00C5561A"/>
    <w:rsid w:val="00C641E2"/>
    <w:rsid w:val="00C7571C"/>
    <w:rsid w:val="00C75AD4"/>
    <w:rsid w:val="00C84E8F"/>
    <w:rsid w:val="00C9224C"/>
    <w:rsid w:val="00CA3387"/>
    <w:rsid w:val="00CC6973"/>
    <w:rsid w:val="00CC76A4"/>
    <w:rsid w:val="00CE126C"/>
    <w:rsid w:val="00CE42D4"/>
    <w:rsid w:val="00CE57BC"/>
    <w:rsid w:val="00CE681B"/>
    <w:rsid w:val="00CF4A66"/>
    <w:rsid w:val="00CF60AF"/>
    <w:rsid w:val="00D008BA"/>
    <w:rsid w:val="00D04E96"/>
    <w:rsid w:val="00D05485"/>
    <w:rsid w:val="00D06947"/>
    <w:rsid w:val="00D0732A"/>
    <w:rsid w:val="00D07C4E"/>
    <w:rsid w:val="00D16C56"/>
    <w:rsid w:val="00D362F9"/>
    <w:rsid w:val="00D36D41"/>
    <w:rsid w:val="00D61C17"/>
    <w:rsid w:val="00D6359C"/>
    <w:rsid w:val="00D64B6E"/>
    <w:rsid w:val="00D70CF4"/>
    <w:rsid w:val="00D733C3"/>
    <w:rsid w:val="00D755EA"/>
    <w:rsid w:val="00D851E6"/>
    <w:rsid w:val="00DB3C64"/>
    <w:rsid w:val="00DC2B5F"/>
    <w:rsid w:val="00DD129C"/>
    <w:rsid w:val="00DE2793"/>
    <w:rsid w:val="00DF691A"/>
    <w:rsid w:val="00E05231"/>
    <w:rsid w:val="00E17313"/>
    <w:rsid w:val="00E24251"/>
    <w:rsid w:val="00E26D99"/>
    <w:rsid w:val="00E30D77"/>
    <w:rsid w:val="00E34800"/>
    <w:rsid w:val="00E42B25"/>
    <w:rsid w:val="00E45537"/>
    <w:rsid w:val="00E55304"/>
    <w:rsid w:val="00EB5BF6"/>
    <w:rsid w:val="00EE636B"/>
    <w:rsid w:val="00F01DEA"/>
    <w:rsid w:val="00F301A2"/>
    <w:rsid w:val="00F3624F"/>
    <w:rsid w:val="00F416A3"/>
    <w:rsid w:val="00F46E6E"/>
    <w:rsid w:val="00F57289"/>
    <w:rsid w:val="00F66993"/>
    <w:rsid w:val="00F67BAE"/>
    <w:rsid w:val="00F74860"/>
    <w:rsid w:val="00F81D86"/>
    <w:rsid w:val="00F81F4D"/>
    <w:rsid w:val="00FA2E54"/>
    <w:rsid w:val="00FA2FF9"/>
    <w:rsid w:val="00FA7033"/>
    <w:rsid w:val="00FB501E"/>
    <w:rsid w:val="00FB7822"/>
    <w:rsid w:val="00FC1D2C"/>
    <w:rsid w:val="00FC7EFB"/>
    <w:rsid w:val="00FD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omocedydaktyczne.info/index.php?main_page=product_info&amp;cPath=39_89&amp;products_id=114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mocedydaktyczne.info/index.php?main_page=product_info&amp;cPath=39_89&amp;products_id=10365&amp;zenid=6fe5d435aa65ff1734cc5e5bc451d2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7D00-652C-416F-8999-972EB6BA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26</Pages>
  <Words>6073</Words>
  <Characters>36440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Pawela</dc:creator>
  <cp:lastModifiedBy>Gosia</cp:lastModifiedBy>
  <cp:revision>48</cp:revision>
  <cp:lastPrinted>2018-06-11T07:00:00Z</cp:lastPrinted>
  <dcterms:created xsi:type="dcterms:W3CDTF">2018-06-05T18:57:00Z</dcterms:created>
  <dcterms:modified xsi:type="dcterms:W3CDTF">2018-06-11T07:00:00Z</dcterms:modified>
</cp:coreProperties>
</file>