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E6" w:rsidRPr="007431E6" w:rsidRDefault="007431E6" w:rsidP="00743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31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1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1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1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1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1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1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1E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3 </w:t>
      </w:r>
    </w:p>
    <w:p w:rsidR="007431E6" w:rsidRPr="007431E6" w:rsidRDefault="007431E6" w:rsidP="00743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31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1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1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1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1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1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1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1E6">
        <w:rPr>
          <w:rFonts w:ascii="Times New Roman" w:hAnsi="Times New Roman" w:cs="Times New Roman"/>
          <w:b/>
          <w:bCs/>
          <w:sz w:val="24"/>
          <w:szCs w:val="24"/>
        </w:rPr>
        <w:tab/>
        <w:t>do Uchwały nr LI/503/2021</w:t>
      </w:r>
    </w:p>
    <w:p w:rsidR="007431E6" w:rsidRPr="007431E6" w:rsidRDefault="007431E6" w:rsidP="00743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31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1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1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1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1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1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1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431E6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Pr="007431E6">
        <w:rPr>
          <w:rFonts w:ascii="Times New Roman" w:hAnsi="Times New Roman" w:cs="Times New Roman"/>
          <w:b/>
          <w:bCs/>
          <w:sz w:val="24"/>
          <w:szCs w:val="24"/>
        </w:rPr>
        <w:t>Rady Gminy Świdni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Pr="007431E6">
        <w:rPr>
          <w:rFonts w:ascii="Times New Roman" w:hAnsi="Times New Roman" w:cs="Times New Roman"/>
          <w:b/>
          <w:bCs/>
          <w:sz w:val="24"/>
          <w:szCs w:val="24"/>
        </w:rPr>
        <w:t xml:space="preserve">   z dnia 17 grudnia 2021 r.</w:t>
      </w:r>
    </w:p>
    <w:p w:rsidR="007431E6" w:rsidRPr="007431E6" w:rsidRDefault="007431E6" w:rsidP="00743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1E6" w:rsidRPr="007431E6" w:rsidRDefault="007431E6" w:rsidP="00743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31E6">
        <w:rPr>
          <w:rFonts w:ascii="Times New Roman" w:hAnsi="Times New Roman" w:cs="Times New Roman"/>
          <w:b/>
          <w:bCs/>
          <w:sz w:val="24"/>
          <w:szCs w:val="24"/>
        </w:rPr>
        <w:t>Objaśnienia  wartości przyjętych w Wieloletniej Prognozie Finansowej Gminy Świdnica na lata 2022 - 2036</w:t>
      </w:r>
    </w:p>
    <w:p w:rsidR="007431E6" w:rsidRPr="007431E6" w:rsidRDefault="007431E6" w:rsidP="00743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E6">
        <w:rPr>
          <w:rFonts w:ascii="Times New Roman" w:hAnsi="Times New Roman" w:cs="Times New Roman"/>
          <w:sz w:val="24"/>
          <w:szCs w:val="24"/>
        </w:rPr>
        <w:t xml:space="preserve">       Założenia makroekonomiczne do Wieloletniej Prognozy Finansowej Gminy Świdnica na lata 2022-2036 przyjęto uwzględniając wskaźniki makroekonomiczne zawarte </w:t>
      </w:r>
      <w:r w:rsidRPr="007431E6">
        <w:rPr>
          <w:rFonts w:ascii="Times New Roman" w:hAnsi="Times New Roman" w:cs="Times New Roman"/>
          <w:sz w:val="24"/>
          <w:szCs w:val="24"/>
        </w:rPr>
        <w:br/>
        <w:t>w projekcie Budżetu Państwa na rok 2022 oraz Wytyczne Ministra Finansów dotyczące założeń makroekonomicznych na potrzeby wieloletnich prognoz finansowych jednostek samorządu terytorialnego. Wielkości dochodów i wydatków na rok 2022 przyjęto zgodne z projektem Uchwały Budżetowej Gminy Świdnica na 2022 rok.</w:t>
      </w:r>
    </w:p>
    <w:p w:rsidR="007431E6" w:rsidRPr="007431E6" w:rsidRDefault="007431E6" w:rsidP="00743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31E6">
        <w:rPr>
          <w:rFonts w:ascii="Times New Roman" w:hAnsi="Times New Roman" w:cs="Times New Roman"/>
          <w:b/>
          <w:bCs/>
          <w:sz w:val="24"/>
          <w:szCs w:val="24"/>
          <w:shd w:val="clear" w:color="auto" w:fill="C0C0C0"/>
        </w:rPr>
        <w:t>Dochody</w:t>
      </w:r>
    </w:p>
    <w:p w:rsidR="007431E6" w:rsidRPr="007431E6" w:rsidRDefault="007431E6" w:rsidP="00743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E6">
        <w:rPr>
          <w:rFonts w:ascii="Times New Roman" w:hAnsi="Times New Roman" w:cs="Times New Roman"/>
          <w:sz w:val="24"/>
          <w:szCs w:val="24"/>
        </w:rPr>
        <w:t xml:space="preserve">        Dochody bieżące i majątkowe na rok 2022 zaplanowano na poziomie wielkości określonych w projekcie Uchwały Budżetowej Gminy Świdnica. W latach 2023-2036 planując dochody bieżące, przyjęto założenia makroekonomiczne określone przez Ministra Finansów na bazie planowanego tempa wzrostu  PKB- dynamika realna w latach 2023- 2036 tj.: w roku w roku 2023- 103,7%, w roku 2024- 103,5%, w roku 2025- 103,5%, w roku 2026- 103,5%, w roku 2027- 103,4%, w roku 2028- 103,3%, w roku 2029- 103,1%, w roku 2030- 102,9%, w roku 2031 - 102,8%. w roku 2032 - 102,7%, w roku 2033 - 102,6%, w roku 2034- 102,5%, w roku 2035 - 102,5% i w roku 2036 - 102,4%.</w:t>
      </w:r>
    </w:p>
    <w:p w:rsidR="007431E6" w:rsidRPr="007431E6" w:rsidRDefault="007431E6" w:rsidP="00743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E6">
        <w:rPr>
          <w:rFonts w:ascii="Times New Roman" w:hAnsi="Times New Roman" w:cs="Times New Roman"/>
          <w:sz w:val="24"/>
          <w:szCs w:val="24"/>
        </w:rPr>
        <w:t xml:space="preserve">Wartości dochodów majątkowych w latach 2023- 2036 przyjęto na podstawie planowanych wieloletnich przedsięwzięć. Zgodnie z przyjętą Strategią Rozwoju Gminy Świdnica realizacja przedsięwzięć w zakresie inwestycji możliwa jest przede wszystkim dzięki pozyskanym środkom zewnętrznym, w tym środkom z funduszy strukturalnych Unii Europejskiej. </w:t>
      </w:r>
    </w:p>
    <w:p w:rsidR="007431E6" w:rsidRPr="007431E6" w:rsidRDefault="007431E6" w:rsidP="00743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E6">
        <w:rPr>
          <w:rFonts w:ascii="Times New Roman" w:hAnsi="Times New Roman" w:cs="Times New Roman"/>
          <w:sz w:val="24"/>
          <w:szCs w:val="24"/>
        </w:rPr>
        <w:t xml:space="preserve">Gmina Świdnica planuje pozyskać środki z Rządowego  Funduszu Polski Ład na inwestycje pn.: "Przebudowa dróg gminnych w obrębie przejazdów kolejowych w Bystrzycy Górnej", "Budowa remizy w Gogołowie", "Budowa pełnowymiarowej sali gimnastycznej przy Szkole Podstawowej w Grodziszczu" i "Modernizacja boiska w Pszennie" oraz z Rządowego Funduszu Rozwoju Dróg  na inwestycje pn.: "Przebudowa obiektu mostowego nad rzeką Piławą wraz z odcinkiem drogi gminnej nr 111785D w miejscowości Makowice" i "Poprawa bezpieczeństwa na przejściach dla pieszych w miejscowościach Zawiszów i Sulisławice". </w:t>
      </w:r>
    </w:p>
    <w:p w:rsidR="007431E6" w:rsidRPr="007431E6" w:rsidRDefault="007431E6" w:rsidP="00743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E6">
        <w:rPr>
          <w:rFonts w:ascii="Times New Roman" w:hAnsi="Times New Roman" w:cs="Times New Roman"/>
          <w:sz w:val="24"/>
          <w:szCs w:val="24"/>
        </w:rPr>
        <w:lastRenderedPageBreak/>
        <w:t xml:space="preserve">Ponadto planuje się pozyskać środki z Funduszu Dopłat Banku Gospodarstwa Krajowego na budowę budynku komunalnego w Pszennie. </w:t>
      </w:r>
    </w:p>
    <w:p w:rsidR="007431E6" w:rsidRPr="007431E6" w:rsidRDefault="007431E6" w:rsidP="00743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31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C0C0C0"/>
        </w:rPr>
        <w:t>Wydatki</w:t>
      </w:r>
      <w:r w:rsidRPr="007431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431E6" w:rsidRPr="007431E6" w:rsidRDefault="007431E6" w:rsidP="00743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31E6">
        <w:rPr>
          <w:rFonts w:ascii="Times New Roman" w:hAnsi="Times New Roman" w:cs="Times New Roman"/>
          <w:sz w:val="24"/>
          <w:szCs w:val="24"/>
        </w:rPr>
        <w:t>Wydatki bieżące i majątkowe na rok 2022 zaplanowano co do wartości zgodnie z projektem uchwały budżetowej Gminy Świdnica na rok 2022. Natomiast w latach 2022- 2036 planując wydatki bieżące przyjęto następujące założenia makroekonomiczne: w roku 2023 - 103,0%, w roku 2024 - 102,7% oraz w latach 2025 - 2036 wzrost wydatków bieżących o 2,5%.</w:t>
      </w:r>
    </w:p>
    <w:p w:rsidR="007431E6" w:rsidRPr="007431E6" w:rsidRDefault="007431E6" w:rsidP="00743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E6">
        <w:rPr>
          <w:rFonts w:ascii="Times New Roman" w:hAnsi="Times New Roman" w:cs="Times New Roman"/>
          <w:sz w:val="24"/>
          <w:szCs w:val="24"/>
        </w:rPr>
        <w:t>Wydatki majątkowe ustalono na podstawie planowanych wieloletnich przedsięwzięć oraz przyjętej Strategii Rozwoju Gminy Świdnica.</w:t>
      </w:r>
    </w:p>
    <w:p w:rsidR="007431E6" w:rsidRPr="007431E6" w:rsidRDefault="007431E6" w:rsidP="00743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31E6">
        <w:rPr>
          <w:rFonts w:ascii="Times New Roman" w:hAnsi="Times New Roman" w:cs="Times New Roman"/>
          <w:sz w:val="24"/>
          <w:szCs w:val="24"/>
        </w:rPr>
        <w:t>Wydatki na obsługę długu w latach 2022 - 2036 planuje się na podstawie harmonogramów spłat wynikających z dotychczas zawartych umów na kredyty, pożyczki i emisję papierów wartościowych, jak i z planowanych harmonogramów spłat kredytów i pożyczek oraz wykupu papierów wartościowych.</w:t>
      </w:r>
    </w:p>
    <w:p w:rsidR="007431E6" w:rsidRPr="007431E6" w:rsidRDefault="007431E6" w:rsidP="00743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31E6">
        <w:rPr>
          <w:rFonts w:ascii="Times New Roman" w:hAnsi="Times New Roman" w:cs="Times New Roman"/>
          <w:b/>
          <w:bCs/>
          <w:sz w:val="24"/>
          <w:szCs w:val="24"/>
          <w:shd w:val="clear" w:color="auto" w:fill="C0C0C0"/>
        </w:rPr>
        <w:t>Przedsięwzięcia</w:t>
      </w:r>
    </w:p>
    <w:p w:rsidR="007431E6" w:rsidRPr="007431E6" w:rsidRDefault="007431E6" w:rsidP="00743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E6">
        <w:rPr>
          <w:rFonts w:ascii="Times New Roman" w:hAnsi="Times New Roman" w:cs="Times New Roman"/>
          <w:sz w:val="24"/>
          <w:szCs w:val="24"/>
        </w:rPr>
        <w:t>W ramach przedsięwzięć wykazanych z załączniku nr 2 do niniejszej uchwały wykazano kwoty przewidziane do realizacji uchwałami Rady Gminy Świdnica oraz kwoty planowane na podstawie przyjętej Strategii Rozwoju Gminy Świdnica, która jest zgodna z dokumentami strategicznymi szczebla wojewódzkiego i krajowego.</w:t>
      </w:r>
    </w:p>
    <w:p w:rsidR="007431E6" w:rsidRPr="007431E6" w:rsidRDefault="007431E6" w:rsidP="007431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31E6">
        <w:rPr>
          <w:rFonts w:ascii="Times New Roman" w:hAnsi="Times New Roman" w:cs="Times New Roman"/>
          <w:b/>
          <w:bCs/>
          <w:sz w:val="24"/>
          <w:szCs w:val="24"/>
          <w:shd w:val="clear" w:color="auto" w:fill="C0C0C0"/>
        </w:rPr>
        <w:t>Relacja z art. 243 ustawy o finansach publicznych</w:t>
      </w:r>
    </w:p>
    <w:p w:rsidR="007431E6" w:rsidRPr="007431E6" w:rsidRDefault="007431E6" w:rsidP="007431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E6">
        <w:rPr>
          <w:rFonts w:ascii="Times New Roman" w:hAnsi="Times New Roman" w:cs="Times New Roman"/>
          <w:sz w:val="24"/>
          <w:szCs w:val="24"/>
        </w:rPr>
        <w:t>Do ustalenia relacji określonej w art. 243 ust. 1 ustawy o finansach publicznych na lata 2022- 2025 przyjęto okres siedmiu lat do wyliczenia średniej arytmetycznej relacji dochodów bieżących powiększonych o dochody ze sprzedaży majątku oraz pomniejszonych o wydatki bieżące do dochodów bieżących budżetu, zgodnie z Zarządzeniem Wójta Gminy nr 147/2021 z dnia 10 grudnia 2021 r. w sprawie wyboru długości okresu średniej arytmetycznej stosowanego do wyliczenia relacji określonej w art. 243 ust. 1 ustawy o finansach publicznych.</w:t>
      </w:r>
    </w:p>
    <w:p w:rsidR="007431E6" w:rsidRPr="007431E6" w:rsidRDefault="007431E6" w:rsidP="007431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754B" w:rsidRDefault="00D3754B"/>
    <w:sectPr w:rsidR="00D3754B" w:rsidSect="006233B5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E6"/>
    <w:rsid w:val="007431E6"/>
    <w:rsid w:val="00D3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123DE-F98F-44C9-8F2C-E03E0D2A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1</cp:revision>
  <dcterms:created xsi:type="dcterms:W3CDTF">2021-12-20T19:53:00Z</dcterms:created>
  <dcterms:modified xsi:type="dcterms:W3CDTF">2021-12-20T19:54:00Z</dcterms:modified>
</cp:coreProperties>
</file>